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47" w:rsidRDefault="00F27947" w:rsidP="00F27947">
      <w:pPr>
        <w:pStyle w:val="NoSpacing"/>
        <w:rPr>
          <w:rFonts w:ascii="Sylfaen" w:hAnsi="Sylfaen" w:cstheme="minorHAnsi"/>
          <w:b/>
          <w:color w:val="1F3864" w:themeColor="accent5" w:themeShade="80"/>
          <w:sz w:val="28"/>
          <w:lang w:val="ka-GE"/>
        </w:rPr>
      </w:pPr>
      <w:bookmarkStart w:id="0" w:name="_Toc89118359"/>
      <w:r>
        <w:rPr>
          <w:noProof/>
          <w:lang w:val="en-GB" w:eastAsia="en-GB"/>
        </w:rPr>
        <w:drawing>
          <wp:anchor distT="0" distB="0" distL="114300" distR="114300" simplePos="0" relativeHeight="251659264" behindDoc="0" locked="0" layoutInCell="1" allowOverlap="1" wp14:anchorId="0F57DA1C" wp14:editId="38571A59">
            <wp:simplePos x="0" y="0"/>
            <wp:positionH relativeFrom="margin">
              <wp:posOffset>0</wp:posOffset>
            </wp:positionH>
            <wp:positionV relativeFrom="paragraph">
              <wp:posOffset>220345</wp:posOffset>
            </wp:positionV>
            <wp:extent cx="1946275" cy="695960"/>
            <wp:effectExtent l="0" t="0" r="0" b="8890"/>
            <wp:wrapThrough wrapText="bothSides">
              <wp:wrapPolygon edited="0">
                <wp:start x="2114" y="0"/>
                <wp:lineTo x="846" y="2956"/>
                <wp:lineTo x="0" y="6504"/>
                <wp:lineTo x="0" y="15372"/>
                <wp:lineTo x="846" y="18920"/>
                <wp:lineTo x="2114" y="21285"/>
                <wp:lineTo x="2326" y="21285"/>
                <wp:lineTo x="5285" y="21285"/>
                <wp:lineTo x="5497" y="21285"/>
                <wp:lineTo x="6554" y="18920"/>
                <wp:lineTo x="21353" y="11234"/>
                <wp:lineTo x="21353" y="6504"/>
                <wp:lineTo x="5285"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7">
                      <a:extLst>
                        <a:ext uri="{28A0092B-C50C-407E-A947-70E740481C1C}">
                          <a14:useLocalDpi xmlns:a14="http://schemas.microsoft.com/office/drawing/2010/main" val="0"/>
                        </a:ext>
                      </a:extLst>
                    </a:blip>
                    <a:stretch>
                      <a:fillRect/>
                    </a:stretch>
                  </pic:blipFill>
                  <pic:spPr>
                    <a:xfrm>
                      <a:off x="0" y="0"/>
                      <a:ext cx="1946275" cy="695960"/>
                    </a:xfrm>
                    <a:prstGeom prst="rect">
                      <a:avLst/>
                    </a:prstGeom>
                  </pic:spPr>
                </pic:pic>
              </a:graphicData>
            </a:graphic>
            <wp14:sizeRelH relativeFrom="margin">
              <wp14:pctWidth>0</wp14:pctWidth>
            </wp14:sizeRelH>
            <wp14:sizeRelV relativeFrom="margin">
              <wp14:pctHeight>0</wp14:pctHeight>
            </wp14:sizeRelV>
          </wp:anchor>
        </w:drawing>
      </w: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Pr="00E638C3" w:rsidRDefault="00F27947" w:rsidP="00F27947">
      <w:pPr>
        <w:pStyle w:val="NoSpacing"/>
        <w:jc w:val="center"/>
        <w:rPr>
          <w:rFonts w:ascii="Sylfaen" w:hAnsi="Sylfaen" w:cstheme="minorHAnsi"/>
          <w:b/>
          <w:color w:val="1F3864" w:themeColor="accent5" w:themeShade="80"/>
          <w:sz w:val="28"/>
          <w:lang w:val="ka-GE"/>
        </w:rPr>
      </w:pPr>
      <w:r w:rsidRPr="00E638C3">
        <w:rPr>
          <w:rFonts w:ascii="Sylfaen" w:hAnsi="Sylfaen" w:cstheme="minorHAnsi"/>
          <w:b/>
          <w:color w:val="1F3864" w:themeColor="accent5" w:themeShade="80"/>
          <w:sz w:val="28"/>
          <w:lang w:val="ka-GE"/>
        </w:rPr>
        <w:t>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 წესებთან შესაბამისობა</w:t>
      </w:r>
    </w:p>
    <w:p w:rsidR="00F27947" w:rsidRPr="00E638C3" w:rsidRDefault="00F27947" w:rsidP="00F27947">
      <w:pPr>
        <w:pStyle w:val="NoSpacing"/>
        <w:jc w:val="center"/>
        <w:rPr>
          <w:rFonts w:ascii="Sylfaen" w:hAnsi="Sylfaen" w:cstheme="minorHAnsi"/>
          <w:b/>
          <w:color w:val="1F3864" w:themeColor="accent5" w:themeShade="80"/>
          <w:sz w:val="32"/>
          <w:lang w:val="ka-GE"/>
        </w:rPr>
      </w:pP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„საქართველოს 202</w:t>
      </w:r>
      <w:r w:rsidRPr="00E638C3">
        <w:rPr>
          <w:rFonts w:ascii="Sylfaen" w:hAnsi="Sylfaen" w:cstheme="minorHAnsi"/>
          <w:b/>
          <w:szCs w:val="20"/>
        </w:rPr>
        <w:t>5</w:t>
      </w:r>
      <w:r w:rsidRPr="00E638C3">
        <w:rPr>
          <w:rFonts w:ascii="Sylfaen" w:hAnsi="Sylfaen" w:cstheme="minorHAnsi"/>
          <w:b/>
          <w:szCs w:val="20"/>
          <w:lang w:val="ka-GE"/>
        </w:rPr>
        <w:t xml:space="preserve"> წლის სახელმწიფო ბიუჯეტის შესახებ“ საქართველოს კანონის პროექტზე  </w:t>
      </w: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w:t>
      </w:r>
      <w:r w:rsidRPr="00E638C3">
        <w:rPr>
          <w:rFonts w:ascii="Sylfaen" w:hAnsi="Sylfaen" w:cstheme="minorHAnsi"/>
          <w:b/>
          <w:szCs w:val="20"/>
        </w:rPr>
        <w:t>I</w:t>
      </w:r>
      <w:r w:rsidRPr="00E638C3">
        <w:rPr>
          <w:rFonts w:ascii="Sylfaen" w:hAnsi="Sylfaen" w:cstheme="minorHAnsi"/>
          <w:b/>
          <w:szCs w:val="20"/>
          <w:lang w:val="ka-GE"/>
        </w:rPr>
        <w:t xml:space="preserve"> წარდგენა) თანდართული ინფორმაცია</w:t>
      </w:r>
    </w:p>
    <w:p w:rsidR="00F27947" w:rsidRPr="00AC39E2" w:rsidRDefault="00F27947" w:rsidP="00F27947">
      <w:pPr>
        <w:pStyle w:val="NoSpacing"/>
        <w:jc w:val="center"/>
        <w:rPr>
          <w:rFonts w:ascii="Sylfaen" w:hAnsi="Sylfaen" w:cstheme="minorHAnsi"/>
          <w:b/>
          <w:szCs w:val="20"/>
          <w:lang w:val="ka-GE"/>
        </w:rPr>
      </w:pPr>
    </w:p>
    <w:p w:rsidR="00F27947" w:rsidRPr="00511B42" w:rsidRDefault="00F27947" w:rsidP="00F27947">
      <w:pPr>
        <w:pStyle w:val="NoSpacing"/>
        <w:jc w:val="center"/>
        <w:rPr>
          <w:rFonts w:ascii="Sylfaen" w:hAnsi="Sylfaen" w:cstheme="minorHAnsi"/>
          <w:b/>
          <w:sz w:val="20"/>
          <w:szCs w:val="20"/>
          <w:lang w:val="ka-GE"/>
        </w:rPr>
      </w:pPr>
    </w:p>
    <w:p w:rsidR="00F27947" w:rsidRPr="00511B42" w:rsidRDefault="00F27947" w:rsidP="00F27947">
      <w:pPr>
        <w:pStyle w:val="NoSpacing"/>
        <w:jc w:val="center"/>
        <w:rPr>
          <w:rFonts w:ascii="Sylfaen" w:hAnsi="Sylfaen" w:cstheme="minorHAnsi"/>
          <w:b/>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E638C3" w:rsidRDefault="00F27947" w:rsidP="00F27947">
      <w:pPr>
        <w:pStyle w:val="NoSpacing"/>
        <w:jc w:val="center"/>
        <w:rPr>
          <w:rFonts w:ascii="Sylfaen" w:hAnsi="Sylfaen" w:cstheme="minorHAnsi"/>
          <w:b/>
          <w:sz w:val="32"/>
          <w:lang w:val="ka-GE"/>
        </w:rPr>
      </w:pPr>
    </w:p>
    <w:p w:rsidR="00F27947" w:rsidRPr="00E638C3" w:rsidRDefault="00F27947" w:rsidP="00F27947">
      <w:pPr>
        <w:pStyle w:val="ListParagraph"/>
        <w:tabs>
          <w:tab w:val="left" w:pos="0"/>
        </w:tabs>
        <w:ind w:left="1080"/>
        <w:jc w:val="center"/>
        <w:rPr>
          <w:rFonts w:ascii="Sylfaen" w:hAnsi="Sylfaen"/>
          <w:b/>
          <w:noProof/>
          <w:lang w:val="it-IT"/>
        </w:rPr>
      </w:pPr>
      <w:r w:rsidRPr="00E638C3">
        <w:rPr>
          <w:rFonts w:ascii="Sylfaen" w:hAnsi="Sylfaen" w:cs="Sylfaen"/>
          <w:b/>
          <w:noProof/>
          <w:lang w:val="it-IT"/>
        </w:rPr>
        <w:t>თბილისი</w:t>
      </w:r>
    </w:p>
    <w:p w:rsidR="00F27947" w:rsidRPr="00E638C3" w:rsidRDefault="00F27947" w:rsidP="00F27947">
      <w:pPr>
        <w:pStyle w:val="ListParagraph"/>
        <w:tabs>
          <w:tab w:val="left" w:pos="0"/>
        </w:tabs>
        <w:ind w:left="1080"/>
        <w:jc w:val="center"/>
        <w:rPr>
          <w:rFonts w:ascii="Sylfaen" w:hAnsi="Sylfaen" w:cs="Sylfaen"/>
          <w:b/>
          <w:noProof/>
          <w:lang w:val="ka-GE"/>
        </w:rPr>
      </w:pPr>
      <w:r w:rsidRPr="00E638C3">
        <w:rPr>
          <w:rFonts w:ascii="Sylfaen" w:hAnsi="Sylfaen"/>
          <w:b/>
          <w:noProof/>
          <w:lang w:val="it-IT"/>
        </w:rPr>
        <w:t>202</w:t>
      </w:r>
      <w:r w:rsidRPr="00E638C3">
        <w:rPr>
          <w:rFonts w:ascii="Sylfaen" w:hAnsi="Sylfaen"/>
          <w:b/>
          <w:noProof/>
        </w:rPr>
        <w:t>4</w:t>
      </w:r>
      <w:r w:rsidRPr="00E638C3">
        <w:rPr>
          <w:rFonts w:ascii="Sylfaen" w:hAnsi="Sylfaen"/>
          <w:b/>
          <w:noProof/>
          <w:lang w:val="it-IT"/>
        </w:rPr>
        <w:t xml:space="preserve"> </w:t>
      </w:r>
      <w:r w:rsidRPr="00E638C3">
        <w:rPr>
          <w:rFonts w:ascii="Sylfaen" w:hAnsi="Sylfaen" w:cs="Sylfaen"/>
          <w:b/>
          <w:noProof/>
          <w:lang w:val="it-IT"/>
        </w:rPr>
        <w:t>წ</w:t>
      </w:r>
      <w:r>
        <w:rPr>
          <w:rFonts w:ascii="Sylfaen" w:hAnsi="Sylfaen" w:cs="Sylfaen"/>
          <w:b/>
          <w:noProof/>
          <w:lang w:val="ka-GE"/>
        </w:rPr>
        <w:t>ლის სექტემბერი</w:t>
      </w:r>
    </w:p>
    <w:p w:rsidR="00F27947" w:rsidRPr="00511B42" w:rsidRDefault="00F27947" w:rsidP="00F27947">
      <w:pPr>
        <w:pStyle w:val="Heading1"/>
        <w:numPr>
          <w:ilvl w:val="0"/>
          <w:numId w:val="1"/>
        </w:numPr>
        <w:rPr>
          <w:rFonts w:ascii="Sylfaen" w:hAnsi="Sylfaen" w:cs="Sylfaen"/>
          <w:b/>
          <w:sz w:val="24"/>
          <w:lang w:val="ka-GE"/>
        </w:rPr>
      </w:pPr>
      <w:r>
        <w:rPr>
          <w:rFonts w:ascii="Sylfaen" w:hAnsi="Sylfaen"/>
          <w:b/>
          <w:sz w:val="28"/>
          <w:lang w:val="ka-GE"/>
        </w:rPr>
        <w:br w:type="page"/>
      </w:r>
      <w:r w:rsidRPr="00511B42">
        <w:rPr>
          <w:rFonts w:ascii="Sylfaen" w:hAnsi="Sylfaen"/>
          <w:b/>
          <w:sz w:val="28"/>
          <w:lang w:val="ka-GE"/>
        </w:rPr>
        <w:lastRenderedPageBreak/>
        <w:t>ძირითადი მაკროეკონომიკური და ფისკალური პარამეტრები</w:t>
      </w:r>
      <w:bookmarkEnd w:id="0"/>
    </w:p>
    <w:p w:rsidR="00F27947" w:rsidRPr="00511B42" w:rsidRDefault="00F27947" w:rsidP="00F27947">
      <w:pPr>
        <w:pStyle w:val="NoSpacing"/>
        <w:jc w:val="both"/>
        <w:rPr>
          <w:rFonts w:ascii="Sylfaen" w:hAnsi="Sylfaen"/>
          <w:lang w:val="ka-GE"/>
        </w:rPr>
      </w:pPr>
    </w:p>
    <w:p w:rsidR="00F27947" w:rsidRPr="005435CF"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 xml:space="preserve">წინამდებარე ინფორმაცია მომზადდა საქართველოს 2025 წლის სახელმწიფო ბიუჯეტის პროექტთან (პირველი წარდგენა) ერთად და წარმოადგენს </w:t>
      </w:r>
      <w:r w:rsidRPr="009446A5">
        <w:rPr>
          <w:rFonts w:ascii="Sylfaen" w:hAnsi="Sylfaen"/>
          <w:color w:val="000000" w:themeColor="text1"/>
          <w:lang w:val="ka-GE"/>
        </w:rPr>
        <w:t>202</w:t>
      </w:r>
      <w:r>
        <w:rPr>
          <w:rFonts w:ascii="Sylfaen" w:hAnsi="Sylfaen"/>
          <w:color w:val="000000" w:themeColor="text1"/>
          <w:lang w:val="ka-GE"/>
        </w:rPr>
        <w:t>3</w:t>
      </w:r>
      <w:r w:rsidRPr="009446A5">
        <w:rPr>
          <w:rFonts w:ascii="Sylfaen" w:hAnsi="Sylfaen"/>
          <w:color w:val="000000" w:themeColor="text1"/>
          <w:lang w:val="ka-GE"/>
        </w:rPr>
        <w:t xml:space="preserve"> წლის ბოლოს</w:t>
      </w:r>
      <w:r>
        <w:rPr>
          <w:rFonts w:ascii="Sylfaen" w:hAnsi="Sylfaen"/>
          <w:color w:val="000000" w:themeColor="text1"/>
          <w:lang w:val="ka-GE"/>
        </w:rPr>
        <w:t xml:space="preserve"> 2024</w:t>
      </w:r>
      <w:r w:rsidRPr="009446A5">
        <w:rPr>
          <w:rFonts w:ascii="Sylfaen" w:hAnsi="Sylfaen"/>
          <w:color w:val="000000" w:themeColor="text1"/>
          <w:lang w:val="ka-GE"/>
        </w:rPr>
        <w:t xml:space="preserve"> წლის სახელმწიფო ბიუჯეტის კანონზე თანდართული „202</w:t>
      </w:r>
      <w:r>
        <w:rPr>
          <w:rFonts w:ascii="Sylfaen" w:hAnsi="Sylfaen"/>
          <w:color w:val="000000" w:themeColor="text1"/>
        </w:rPr>
        <w:t>4</w:t>
      </w:r>
      <w:r w:rsidRPr="009446A5">
        <w:rPr>
          <w:rFonts w:ascii="Sylfaen" w:hAnsi="Sylfaen"/>
          <w:color w:val="000000" w:themeColor="text1"/>
          <w:lang w:val="ka-GE"/>
        </w:rPr>
        <w:t>-202</w:t>
      </w:r>
      <w:r>
        <w:rPr>
          <w:rFonts w:ascii="Sylfaen" w:hAnsi="Sylfaen"/>
          <w:color w:val="000000" w:themeColor="text1"/>
        </w:rPr>
        <w:t>7</w:t>
      </w:r>
      <w:r w:rsidRPr="009446A5">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დოკუმენტით“</w:t>
      </w:r>
      <w:r w:rsidRPr="005435CF">
        <w:rPr>
          <w:rFonts w:ascii="Sylfaen" w:hAnsi="Sylfaen"/>
          <w:color w:val="000000" w:themeColor="text1"/>
          <w:lang w:val="ka-GE"/>
        </w:rPr>
        <w:t xml:space="preserve">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 xml:space="preserve">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7.5% შეადგინა. ეკონომიკურ ზრდაში კვლავ წარმმართველია მოხმარება და ინვესტიციები. ამავე დროს, კვლავ გაგრძელდა ტურიზმიდან მიღებული შემოსავლების ზრდა, რამაც ეკონომიკურ აქტივობაზე კვლავ დადებითი გავლენა მოახდინა.  ტურიზმიდან მიღებულმა შემოსავალმა </w:t>
      </w:r>
      <w:r w:rsidRPr="00511B42">
        <w:rPr>
          <w:rFonts w:ascii="Sylfaen" w:hAnsi="Sylfaen"/>
          <w:color w:val="000000" w:themeColor="text1"/>
        </w:rPr>
        <w:t>26.2</w:t>
      </w:r>
      <w:r w:rsidRPr="00511B42">
        <w:rPr>
          <w:rFonts w:ascii="Sylfaen" w:hAnsi="Sylfaen"/>
          <w:color w:val="000000" w:themeColor="text1"/>
          <w:lang w:val="ka-GE"/>
        </w:rPr>
        <w:t>%-ით გადააჭარბა 2019 წლის მაჩვენებელს, ხოლო 2022 წელთან შედარებით ზრდამ 17.3% შეადგინა. მიუხედავად ფულადი გზავნილების შემცირებისა, რაც ძირითადად რუსეთიდან შემცირებულ ფულად ჩარიცხვებს უკავშირდება, რუსეთის გამორიცხვით აღნიშნული მაჩვენებელი კვლავ მზარდია.</w:t>
      </w:r>
    </w:p>
    <w:p w:rsidR="00F27947" w:rsidRPr="00511B42" w:rsidRDefault="00F27947" w:rsidP="00F27947">
      <w:pPr>
        <w:pStyle w:val="NoSpacing"/>
        <w:tabs>
          <w:tab w:val="left" w:pos="709"/>
        </w:tabs>
        <w:spacing w:line="276" w:lineRule="auto"/>
        <w:ind w:firstLine="709"/>
        <w:jc w:val="both"/>
        <w:rPr>
          <w:rFonts w:ascii="Sylfaen" w:hAnsi="Sylfaen"/>
          <w:color w:val="000000" w:themeColor="text1"/>
          <w:lang w:val="ka-GE"/>
        </w:rPr>
      </w:pPr>
      <w:r w:rsidRPr="00511B42">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8.4 პროცენტი შეადგინა, მეორე კვარტლის ზრდა კი 9.6 პროცენტზე დაფიქსირდა. რაც შეეხება ივლისს, წინასწარი მონაცემებით ეკონომიკურმა ზრდამ 13.0 პროცენტი შეადგინა. წინასწარი შეფასებით, პირველ 7 თვეში ეკონომიკურმა ზრდამ 9.7 პროცენტი შეადგინა. </w:t>
      </w:r>
      <w:r w:rsidRPr="00511B42">
        <w:rPr>
          <w:rFonts w:ascii="Sylfaen" w:hAnsi="Sylfaen"/>
          <w:color w:val="000000" w:themeColor="text1"/>
        </w:rPr>
        <w:t>2024-202</w:t>
      </w:r>
      <w:r w:rsidRPr="00511B42">
        <w:rPr>
          <w:rFonts w:ascii="Sylfaen" w:hAnsi="Sylfaen"/>
          <w:color w:val="000000" w:themeColor="text1"/>
          <w:lang w:val="ka-GE"/>
        </w:rPr>
        <w:t>7</w:t>
      </w:r>
      <w:r w:rsidRPr="00511B42">
        <w:rPr>
          <w:rFonts w:ascii="Sylfaen" w:hAnsi="Sylfaen"/>
          <w:color w:val="000000" w:themeColor="text1"/>
        </w:rPr>
        <w:t xml:space="preserve"> </w:t>
      </w:r>
      <w:r w:rsidRPr="00511B42">
        <w:rPr>
          <w:rFonts w:ascii="Sylfaen" w:hAnsi="Sylfaen"/>
          <w:color w:val="000000" w:themeColor="text1"/>
          <w:lang w:val="ka-GE"/>
        </w:rPr>
        <w:t>წლების ძირითადი მაკროეკონომიკური პარამეტრების წინასწარ პროგნოზებში 2024 წლის ეკონომიკური ზრდის პროგნოზი 5.2 პროცენტს შეადგენდა, 2025-2028 წლების პროგნოზების მიხედვით კი 2024 წელს მოსალოდნელია 8.2 პროცენტიანი ეკონომიკური ზრდა, თუმცა პირველი 7 თვის მონაცემებით, ეკონომიკის მოსალოდნელზე უფრო მაღალი ზრდის გათვალისწინებით, აღნიშნული შეფასება კონსერვატიულ პროგნოზებს ეყრდნობა. რაც შეეხება საშუალოვადიან პროგნოზებს, ეკონომიკური ზრდის საშუალო საპროგნოზო მაჩვენებელი 5.</w:t>
      </w:r>
      <w:r w:rsidRPr="00511B42">
        <w:rPr>
          <w:rFonts w:ascii="Sylfaen" w:hAnsi="Sylfaen"/>
          <w:color w:val="000000" w:themeColor="text1"/>
        </w:rPr>
        <w:t>2</w:t>
      </w:r>
      <w:r w:rsidRPr="00511B42">
        <w:rPr>
          <w:rFonts w:ascii="Sylfaen" w:hAnsi="Sylfaen"/>
          <w:color w:val="000000" w:themeColor="text1"/>
          <w:lang w:val="ka-GE"/>
        </w:rPr>
        <w:t xml:space="preserve"> პროცენტზეა</w:t>
      </w:r>
      <w:r w:rsidRPr="00511B42">
        <w:rPr>
          <w:rFonts w:ascii="Sylfaen" w:hAnsi="Sylfaen"/>
          <w:color w:val="000000" w:themeColor="text1"/>
        </w:rPr>
        <w:t xml:space="preserve"> 2025-2028 </w:t>
      </w:r>
      <w:r w:rsidRPr="00511B42">
        <w:rPr>
          <w:rFonts w:ascii="Sylfaen" w:hAnsi="Sylfaen"/>
          <w:color w:val="000000" w:themeColor="text1"/>
          <w:lang w:val="ka-GE"/>
        </w:rPr>
        <w:t>წლებისთვის. 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განსხვავდება სხვადასხვა რისკის რეალიზაციის ალბათობებით, რაც ეკონომიკაზე დადებითად ან უარყოფითად მოქმედებს.</w:t>
      </w: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წარმოდგენილ ცხრილებში 2025-2028 წლების ძირითადი მიმართულებებით გათვალისწინებული პროგნოზები შედარებულია 2023 წლის დეკემბერში წარმოდგენილ 2024 წლის სახელმწიფო ბიუჯეტის კანონზე თანდართულ ცხრილებთან. რუსეთ-უკრაინის საომარი მოქმედებების, არსებული გეოპოლიტიკური მდგომარეობისა და მსოფლიოში მიმდინარე ვითარებიდან გამომდინარე, კვლავ არ არის მკაფიო მსოფლიო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2024 წლის არსებულ (იანვარ-აგვისტოს) ეკონომიკური განვითარების ტენდენციებში შეინიშნება როგორც შიდა, ისე გარე ფაქტორების მოსალოდნელზე მაღალი აქტივობა და ეკონომიკური ზრდის დაგეგმილზე კიდევ უფრო მეტი პოტენციალი. არსებული ფაქტორების გათვალისწინებით, 2024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5.</w:t>
      </w:r>
      <w:r w:rsidRPr="00511B42">
        <w:rPr>
          <w:rFonts w:ascii="Sylfaen" w:hAnsi="Sylfaen"/>
          <w:color w:val="000000" w:themeColor="text1"/>
        </w:rPr>
        <w:t>2</w:t>
      </w:r>
      <w:r w:rsidRPr="00511B42">
        <w:rPr>
          <w:rFonts w:ascii="Sylfaen" w:hAnsi="Sylfaen"/>
          <w:color w:val="000000" w:themeColor="text1"/>
          <w:lang w:val="ka-GE"/>
        </w:rPr>
        <w:t xml:space="preserve"> პროცენტის ფარგლებშია </w:t>
      </w:r>
      <w:r w:rsidRPr="00511B42">
        <w:rPr>
          <w:rFonts w:ascii="Sylfaen" w:hAnsi="Sylfaen"/>
          <w:color w:val="000000" w:themeColor="text1"/>
          <w:lang w:val="ka-GE"/>
        </w:rPr>
        <w:lastRenderedPageBreak/>
        <w:t xml:space="preserve">წარმოდგენილი, 2023 წლის დეკემბერში წარმოდგენილი 5.1 პროცენტიანი პროგნოზის შემდეგ. ამასთან, გლობალურად მიმდინარე სხვადასხვა მოვლენების ფონზე და მიმდინარე წლის პირველი 8 თვის ფაქტობრივ მონაცემებზე დაყრდნობით შემცირებულია </w:t>
      </w:r>
      <w:r w:rsidRPr="00511B42">
        <w:rPr>
          <w:rFonts w:ascii="Sylfaen" w:hAnsi="Sylfaen"/>
          <w:color w:val="000000" w:themeColor="text1"/>
        </w:rPr>
        <w:t xml:space="preserve">2024 </w:t>
      </w:r>
      <w:r w:rsidRPr="00511B42">
        <w:rPr>
          <w:rFonts w:ascii="Sylfaen" w:hAnsi="Sylfaen"/>
          <w:color w:val="000000" w:themeColor="text1"/>
          <w:lang w:val="ka-GE"/>
        </w:rPr>
        <w:t xml:space="preserve">წლის ფასების ზრდის საპროგნოზო მაჩვენებლები და შეცვლილია საგარეო სექტორთან დაკავშირებული ინდიკატორები. </w:t>
      </w:r>
    </w:p>
    <w:p w:rsidR="00F27947" w:rsidRPr="00511B42" w:rsidRDefault="00F27947" w:rsidP="00F27947">
      <w:pPr>
        <w:pStyle w:val="NoSpacing"/>
        <w:spacing w:line="276" w:lineRule="auto"/>
        <w:ind w:firstLine="720"/>
        <w:jc w:val="both"/>
        <w:rPr>
          <w:rFonts w:ascii="Sylfaen" w:hAnsi="Sylfaen"/>
          <w:color w:val="000000" w:themeColor="text1"/>
          <w:lang w:val="ka-GE"/>
        </w:rPr>
      </w:pPr>
    </w:p>
    <w:p w:rsidR="00F27947" w:rsidRPr="00511B42" w:rsidRDefault="00F27947" w:rsidP="00F27947">
      <w:pPr>
        <w:pStyle w:val="NoSpacing"/>
        <w:spacing w:line="276" w:lineRule="auto"/>
        <w:jc w:val="both"/>
        <w:rPr>
          <w:rFonts w:ascii="Sylfaen" w:hAnsi="Sylfaen"/>
          <w:b/>
          <w:sz w:val="20"/>
          <w:szCs w:val="20"/>
          <w:lang w:val="ka-GE"/>
        </w:rPr>
      </w:pPr>
      <w:r w:rsidRPr="00511B42">
        <w:rPr>
          <w:rFonts w:ascii="Sylfaen" w:eastAsia="Times New Roman" w:hAnsi="Sylfaen" w:cs="Calibri"/>
          <w:b/>
          <w:bCs/>
          <w:color w:val="000000"/>
          <w:sz w:val="20"/>
          <w:szCs w:val="20"/>
          <w:lang w:val="ka-GE"/>
        </w:rPr>
        <w:t>ც</w:t>
      </w:r>
      <w:r w:rsidRPr="00511B42">
        <w:rPr>
          <w:rFonts w:ascii="Sylfaen" w:eastAsia="Times New Roman" w:hAnsi="Sylfaen" w:cs="Calibri"/>
          <w:b/>
          <w:bCs/>
          <w:color w:val="000000"/>
          <w:sz w:val="20"/>
          <w:szCs w:val="20"/>
        </w:rPr>
        <w:t>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 xml:space="preserve">1. ძირითადი ვარაუდები და </w:t>
      </w:r>
      <w:r w:rsidRPr="00511B42">
        <w:rPr>
          <w:rFonts w:ascii="Sylfaen" w:eastAsia="Times New Roman" w:hAnsi="Sylfaen" w:cs="Calibri"/>
          <w:b/>
          <w:bCs/>
          <w:color w:val="000000"/>
          <w:sz w:val="20"/>
          <w:szCs w:val="20"/>
          <w:lang w:val="ka-GE"/>
        </w:rPr>
        <w:t>დ</w:t>
      </w:r>
      <w:r w:rsidRPr="00511B42">
        <w:rPr>
          <w:rFonts w:ascii="Sylfaen" w:eastAsia="Times New Roman" w:hAnsi="Sylfaen" w:cs="Calibri"/>
          <w:b/>
          <w:bCs/>
          <w:color w:val="000000"/>
          <w:sz w:val="20"/>
          <w:szCs w:val="20"/>
        </w:rPr>
        <w:t>აშვებები</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925"/>
        <w:gridCol w:w="949"/>
        <w:gridCol w:w="1002"/>
        <w:gridCol w:w="1002"/>
        <w:gridCol w:w="1003"/>
        <w:gridCol w:w="904"/>
      </w:tblGrid>
      <w:tr w:rsidR="00F27947" w:rsidRPr="00511B42" w:rsidTr="009821BC">
        <w:trPr>
          <w:trHeight w:val="125"/>
          <w:tblHeader/>
        </w:trPr>
        <w:tc>
          <w:tcPr>
            <w:tcW w:w="2053" w:type="pct"/>
            <w:vMerge w:val="restart"/>
            <w:shd w:val="clear" w:color="auto" w:fill="auto"/>
            <w:noWrap/>
            <w:vAlign w:val="center"/>
            <w:hideMark/>
          </w:tcPr>
          <w:p w:rsidR="00F27947" w:rsidRPr="00511B42" w:rsidRDefault="00F27947" w:rsidP="009821BC">
            <w:pPr>
              <w:spacing w:after="0" w:line="240" w:lineRule="auto"/>
              <w:rPr>
                <w:rFonts w:ascii="Sylfaen" w:eastAsia="Times New Roman" w:hAnsi="Sylfaen" w:cs="Calibri"/>
                <w:b/>
                <w:bCs/>
                <w:color w:val="000000"/>
                <w:sz w:val="18"/>
              </w:rPr>
            </w:pPr>
            <w:r w:rsidRPr="00511B42">
              <w:rPr>
                <w:rFonts w:ascii="Sylfaen" w:eastAsia="Times New Roman" w:hAnsi="Sylfaen" w:cs="Calibri"/>
                <w:b/>
                <w:bCs/>
                <w:color w:val="000000"/>
                <w:sz w:val="18"/>
              </w:rPr>
              <w:t>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2023</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2026</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2027</w:t>
            </w:r>
          </w:p>
        </w:tc>
        <w:tc>
          <w:tcPr>
            <w:tcW w:w="458" w:type="pct"/>
            <w:vAlign w:val="center"/>
          </w:tcPr>
          <w:p w:rsidR="00F27947" w:rsidRPr="00511B42" w:rsidRDefault="00F27947" w:rsidP="009821BC">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2028</w:t>
            </w:r>
          </w:p>
        </w:tc>
      </w:tr>
      <w:tr w:rsidR="00F27947" w:rsidRPr="00511B42" w:rsidTr="009821BC">
        <w:trPr>
          <w:trHeight w:val="125"/>
          <w:tblHeader/>
        </w:trPr>
        <w:tc>
          <w:tcPr>
            <w:tcW w:w="2053" w:type="pct"/>
            <w:vMerge/>
            <w:shd w:val="clear" w:color="auto" w:fill="auto"/>
            <w:noWrap/>
            <w:vAlign w:val="center"/>
          </w:tcPr>
          <w:p w:rsidR="00F27947" w:rsidRPr="00511B42" w:rsidRDefault="00F27947" w:rsidP="009821BC">
            <w:pPr>
              <w:spacing w:after="0" w:line="240" w:lineRule="auto"/>
              <w:rPr>
                <w:rFonts w:ascii="Sylfaen" w:eastAsia="Times New Roman" w:hAnsi="Sylfaen" w:cs="Calibri"/>
                <w:b/>
                <w:bCs/>
                <w:color w:val="000000"/>
                <w:sz w:val="18"/>
              </w:rPr>
            </w:pPr>
          </w:p>
        </w:tc>
        <w:tc>
          <w:tcPr>
            <w:tcW w:w="472"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ფაქტი</w:t>
            </w:r>
          </w:p>
        </w:tc>
        <w:tc>
          <w:tcPr>
            <w:tcW w:w="484"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მოსალოდ.</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458" w:type="pct"/>
            <w:vAlign w:val="center"/>
          </w:tcPr>
          <w:p w:rsidR="00F27947" w:rsidRPr="00511B42" w:rsidRDefault="00F27947" w:rsidP="009821BC">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რეალური მშპ-ს ზრდა, %</w:t>
            </w:r>
          </w:p>
        </w:tc>
        <w:tc>
          <w:tcPr>
            <w:tcW w:w="472"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84"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58" w:type="pct"/>
            <w:vAlign w:val="center"/>
          </w:tcPr>
          <w:p w:rsidR="00F27947" w:rsidRPr="00511B42" w:rsidRDefault="00F27947" w:rsidP="009821BC">
            <w:pPr>
              <w:spacing w:after="0" w:line="240" w:lineRule="auto"/>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 xml:space="preserve">ოგნოზი (2023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6.5%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w:t>
            </w: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5.0%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7.5%</w:t>
            </w:r>
          </w:p>
        </w:tc>
        <w:tc>
          <w:tcPr>
            <w:tcW w:w="484"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8.2%</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5.5%</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5.0%</w:t>
            </w:r>
          </w:p>
        </w:tc>
        <w:tc>
          <w:tcPr>
            <w:tcW w:w="511" w:type="pct"/>
            <w:shd w:val="clear" w:color="auto" w:fill="auto"/>
            <w:noWrap/>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5.3%</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მშპ-ს დეფლატორის პროცენტული ცვლილება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3.1%</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2.5%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2</w:t>
            </w:r>
            <w:r w:rsidRPr="00511B42">
              <w:rPr>
                <w:rFonts w:ascii="Sylfaen" w:eastAsia="Times New Roman" w:hAnsi="Sylfaen" w:cs="Calibri"/>
                <w:color w:val="000000"/>
                <w:sz w:val="18"/>
                <w:lang w:val="ka-GE"/>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0</w:t>
            </w:r>
            <w:r w:rsidRPr="00511B42">
              <w:rPr>
                <w:rFonts w:ascii="Sylfaen" w:eastAsia="Times New Roman" w:hAnsi="Sylfaen" w:cs="Calibri"/>
                <w:color w:val="000000"/>
                <w:sz w:val="18"/>
                <w:lang w:val="ka-GE"/>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6</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0.0%</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0.0%</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სესხებ</w:t>
            </w:r>
            <w:r w:rsidRPr="00511B42">
              <w:rPr>
                <w:rFonts w:ascii="Sylfaen" w:eastAsia="Times New Roman" w:hAnsi="Sylfaen" w:cs="Calibri"/>
                <w:b/>
                <w:color w:val="000000"/>
                <w:sz w:val="18"/>
                <w:lang w:val="ka-GE"/>
              </w:rPr>
              <w:t>ზ</w:t>
            </w:r>
            <w:r w:rsidRPr="00511B42">
              <w:rPr>
                <w:rFonts w:ascii="Sylfaen" w:eastAsia="Times New Roman" w:hAnsi="Sylfaen" w:cs="Calibri"/>
                <w:b/>
                <w:color w:val="000000"/>
                <w:sz w:val="18"/>
              </w:rPr>
              <w:t>ე,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15.5%</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11.4%</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16.2%</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13.2%</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12.2%</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11.2%</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0.8%</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დეპოზიტებზე, %</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10.8%</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10.3%</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9.8%</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9.3%</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8.8%</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10.9%</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10.5%</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9.9%</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9.4%</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8.9%</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8.4%</w:t>
            </w:r>
          </w:p>
        </w:tc>
      </w:tr>
      <w:tr w:rsidR="00F27947" w:rsidRPr="00511B42" w:rsidTr="009821BC">
        <w:trPr>
          <w:trHeight w:val="125"/>
        </w:trPr>
        <w:tc>
          <w:tcPr>
            <w:tcW w:w="2053" w:type="pct"/>
            <w:shd w:val="clear" w:color="auto" w:fill="auto"/>
            <w:noWrap/>
            <w:vAlign w:val="center"/>
            <w:hideMark/>
          </w:tcPr>
          <w:p w:rsidR="00F27947" w:rsidRPr="00511B42" w:rsidRDefault="00F27947" w:rsidP="009821BC">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2"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484"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0.1%</w:t>
            </w:r>
          </w:p>
        </w:tc>
        <w:tc>
          <w:tcPr>
            <w:tcW w:w="458" w:type="pct"/>
            <w:vAlign w:val="center"/>
          </w:tcPr>
          <w:p w:rsidR="00F27947" w:rsidRPr="00511B42" w:rsidRDefault="00F27947" w:rsidP="009821BC">
            <w:pPr>
              <w:spacing w:after="0" w:line="240" w:lineRule="auto"/>
              <w:jc w:val="center"/>
              <w:rPr>
                <w:rFonts w:ascii="Sylfaen" w:eastAsia="Times New Roman" w:hAnsi="Sylfaen" w:cs="Calibri"/>
                <w:color w:val="000000"/>
                <w:sz w:val="18"/>
              </w:rPr>
            </w:pPr>
          </w:p>
        </w:tc>
      </w:tr>
    </w:tbl>
    <w:p w:rsidR="00F27947" w:rsidRPr="00511B42" w:rsidRDefault="00F27947" w:rsidP="00F27947">
      <w:pPr>
        <w:pStyle w:val="NoSpacing"/>
        <w:spacing w:line="276" w:lineRule="auto"/>
        <w:ind w:firstLine="720"/>
        <w:jc w:val="both"/>
        <w:rPr>
          <w:rFonts w:ascii="Sylfaen" w:hAnsi="Sylfaen"/>
          <w:color w:val="000000" w:themeColor="text1"/>
          <w:sz w:val="6"/>
          <w:highlight w:val="red"/>
          <w:lang w:val="ka-GE"/>
        </w:rPr>
      </w:pPr>
    </w:p>
    <w:p w:rsidR="00F27947" w:rsidRPr="00511B42" w:rsidRDefault="00F27947" w:rsidP="00F27947">
      <w:pPr>
        <w:pStyle w:val="NoSpacing"/>
        <w:spacing w:line="276" w:lineRule="auto"/>
        <w:ind w:firstLine="720"/>
        <w:jc w:val="both"/>
        <w:rPr>
          <w:rFonts w:ascii="Sylfaen" w:hAnsi="Sylfaen"/>
          <w:color w:val="000000" w:themeColor="text1"/>
          <w:lang w:val="ka-GE"/>
        </w:rPr>
      </w:pPr>
    </w:p>
    <w:p w:rsidR="00F27947" w:rsidRPr="00511B42" w:rsidRDefault="00F27947" w:rsidP="00F27947">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2023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2023 წელს ეკონომიკური ზრდა თავდაპირველ პროგნოზზე</w:t>
      </w:r>
      <w:r w:rsidRPr="00511B42">
        <w:rPr>
          <w:rFonts w:ascii="Sylfaen" w:hAnsi="Sylfaen"/>
          <w:color w:val="000000" w:themeColor="text1"/>
        </w:rPr>
        <w:t xml:space="preserve"> </w:t>
      </w:r>
      <w:r w:rsidRPr="00511B42">
        <w:rPr>
          <w:rFonts w:ascii="Sylfaen" w:hAnsi="Sylfaen"/>
          <w:color w:val="000000" w:themeColor="text1"/>
          <w:lang w:val="ka-GE"/>
        </w:rPr>
        <w:t>მაღალი აღმოჩნდა (1.0 პროცენტული პუნქტით), რაც</w:t>
      </w:r>
      <w:r w:rsidRPr="00511B42">
        <w:rPr>
          <w:rFonts w:ascii="Sylfaen" w:hAnsi="Sylfaen"/>
          <w:color w:val="000000" w:themeColor="text1"/>
        </w:rPr>
        <w:t xml:space="preserve"> </w:t>
      </w:r>
      <w:r w:rsidRPr="00511B42">
        <w:rPr>
          <w:rFonts w:ascii="Sylfaen" w:hAnsi="Sylfaen"/>
          <w:color w:val="000000" w:themeColor="text1"/>
          <w:lang w:val="ka-GE"/>
        </w:rPr>
        <w:t xml:space="preserve">გამოწვეულია როგორც შიდა, ასევე - საგარეო მოთხოვნის გაუმჯობესებითა და ინვესტიციების ზრდით, რამაც ეკონომიკის მოსალოდნელზე მაღალი აქტივობა განაპირობა. 2024 წლის ახალი საპროგნოზო მაჩვენებელი </w:t>
      </w:r>
      <w:r w:rsidRPr="00511B42">
        <w:rPr>
          <w:rFonts w:ascii="Sylfaen" w:hAnsi="Sylfaen"/>
          <w:color w:val="000000" w:themeColor="text1"/>
        </w:rPr>
        <w:t>8.2</w:t>
      </w:r>
      <w:r w:rsidRPr="00511B42">
        <w:rPr>
          <w:rFonts w:ascii="Sylfaen" w:hAnsi="Sylfaen"/>
          <w:color w:val="000000" w:themeColor="text1"/>
          <w:lang w:val="ka-GE"/>
        </w:rPr>
        <w:t xml:space="preserve"> პროცენტს შეადგენს</w:t>
      </w:r>
      <w:r w:rsidRPr="00511B42">
        <w:rPr>
          <w:rFonts w:ascii="Sylfaen" w:hAnsi="Sylfaen"/>
          <w:color w:val="000000" w:themeColor="text1"/>
        </w:rPr>
        <w:t>, რაც ა</w:t>
      </w:r>
      <w:r w:rsidRPr="00511B42">
        <w:rPr>
          <w:rFonts w:ascii="Sylfaen" w:hAnsi="Sylfaen"/>
          <w:color w:val="000000" w:themeColor="text1"/>
          <w:lang w:val="ka-GE"/>
        </w:rPr>
        <w:t xml:space="preserve">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 აღსანიშნავია, რომ მიმდინარე წლის პირველი </w:t>
      </w:r>
      <w:r w:rsidRPr="00511B42">
        <w:rPr>
          <w:rFonts w:ascii="Sylfaen" w:hAnsi="Sylfaen"/>
          <w:color w:val="000000" w:themeColor="text1"/>
        </w:rPr>
        <w:t>7</w:t>
      </w:r>
      <w:r w:rsidRPr="00511B42">
        <w:rPr>
          <w:rFonts w:ascii="Sylfaen" w:hAnsi="Sylfaen"/>
          <w:color w:val="000000" w:themeColor="text1"/>
          <w:lang w:val="ka-GE"/>
        </w:rPr>
        <w:t xml:space="preserve"> თვის მდგომარეობით ეკონომიკური ზრდა ხასიათდება ზრდის სწრაფი ტენდენციით. </w:t>
      </w:r>
    </w:p>
    <w:p w:rsidR="00F27947" w:rsidRPr="00511B42" w:rsidRDefault="00F27947" w:rsidP="00F27947">
      <w:pPr>
        <w:pStyle w:val="NoSpacing"/>
        <w:spacing w:line="276" w:lineRule="auto"/>
        <w:ind w:firstLine="720"/>
        <w:jc w:val="both"/>
        <w:rPr>
          <w:rFonts w:ascii="Sylfaen" w:hAnsi="Sylfaen"/>
          <w:color w:val="000000" w:themeColor="text1"/>
        </w:rPr>
      </w:pPr>
      <w:r w:rsidRPr="00511B42">
        <w:rPr>
          <w:rFonts w:ascii="Sylfaen" w:hAnsi="Sylfaen"/>
          <w:color w:val="000000" w:themeColor="text1"/>
          <w:lang w:val="ka-GE"/>
        </w:rPr>
        <w:t>შემცირებულია მშპ-ს დეფლატორის 2023 წლის ფაქტობრივი</w:t>
      </w:r>
      <w:r w:rsidRPr="00511B42">
        <w:rPr>
          <w:rFonts w:ascii="Sylfaen" w:hAnsi="Sylfaen"/>
          <w:color w:val="000000" w:themeColor="text1"/>
        </w:rPr>
        <w:t xml:space="preserve"> </w:t>
      </w:r>
      <w:r w:rsidRPr="00511B42">
        <w:rPr>
          <w:rFonts w:ascii="Sylfaen" w:hAnsi="Sylfaen"/>
          <w:color w:val="000000" w:themeColor="text1"/>
          <w:lang w:val="ka-GE"/>
        </w:rPr>
        <w:t>დონე,</w:t>
      </w:r>
      <w:r w:rsidRPr="00511B42">
        <w:rPr>
          <w:rFonts w:ascii="Sylfaen" w:hAnsi="Sylfaen"/>
          <w:color w:val="000000" w:themeColor="text1"/>
        </w:rPr>
        <w:t xml:space="preserve"> </w:t>
      </w:r>
      <w:r w:rsidRPr="00511B42">
        <w:rPr>
          <w:rFonts w:ascii="Sylfaen" w:hAnsi="Sylfaen"/>
          <w:color w:val="000000" w:themeColor="text1"/>
          <w:lang w:val="ka-GE"/>
        </w:rPr>
        <w:t xml:space="preserve">თუმცა 2024 წლის საპროგნოზო მაჩვენებელი გაზრდილია დეკემბრის პროგნოზთან შედარებით, ხოლო საშუალოვადიანი პერიოდის მშპ დეფლატორთან დაკავშირებულ პროგნოზებს შორის განსხვავება არ შეინიშნება. მიმდინარე პერიოდში დეფლატორის შემცირებული პროგნოზი კი მნიშვნელოვნად არის გამოწვეული სურსათზე და ნავთობსა და ნედლეულზე შემცირებული ფასებით, რასაც თან ახლავს მიწოდების ჯაჭვების აღდგენითი პროცესები.  შედარებით დაბალი ინფლაციური მოლოდინები აისახა საპროცენტო განაკვეთებზეც. ზოგადი ფასების დონის და მათ შორის მშპ-ს დეფლატორის ცვლილების შედეგად, შესაბამისად გადაიხედა ნომინალური მშპ-ს პროგნოზებიც. </w:t>
      </w:r>
    </w:p>
    <w:p w:rsidR="00F27947" w:rsidRDefault="00F27947" w:rsidP="00F27947">
      <w:pP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br w:type="page"/>
      </w:r>
    </w:p>
    <w:p w:rsidR="00F27947" w:rsidRPr="00511B42" w:rsidRDefault="00F27947" w:rsidP="00F27947">
      <w:pPr>
        <w:pStyle w:val="NoSpacing"/>
        <w:spacing w:line="276" w:lineRule="auto"/>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lastRenderedPageBreak/>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2. ნომინალური მშპ-ს ცვლილება</w:t>
      </w:r>
    </w:p>
    <w:p w:rsidR="00F27947" w:rsidRPr="00B05528" w:rsidRDefault="00F27947" w:rsidP="00F27947">
      <w:pPr>
        <w:pStyle w:val="NoSpacing"/>
        <w:spacing w:line="276" w:lineRule="auto"/>
        <w:jc w:val="right"/>
        <w:rPr>
          <w:rFonts w:ascii="Sylfaen" w:eastAsia="Times New Roman" w:hAnsi="Sylfaen" w:cs="Calibri"/>
          <w:b/>
          <w:bCs/>
          <w:color w:val="000000"/>
          <w:sz w:val="18"/>
          <w:szCs w:val="20"/>
          <w:lang w:val="ka-GE"/>
        </w:rPr>
      </w:pPr>
      <w:r w:rsidRPr="00B05528">
        <w:rPr>
          <w:rFonts w:ascii="Sylfaen" w:eastAsia="Times New Roman" w:hAnsi="Sylfaen" w:cs="Calibri"/>
          <w:b/>
          <w:bCs/>
          <w:color w:val="000000"/>
          <w:sz w:val="18"/>
          <w:szCs w:val="20"/>
          <w:lang w:val="ka-GE"/>
        </w:rPr>
        <w:t>/მლნ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blHeader/>
        </w:trPr>
        <w:tc>
          <w:tcPr>
            <w:tcW w:w="1975" w:type="pct"/>
            <w:vMerge w:val="restar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blHeader/>
        </w:trPr>
        <w:tc>
          <w:tcPr>
            <w:tcW w:w="1975" w:type="pct"/>
            <w:vMerge/>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xml:space="preserve">ნომინალური მშპ-ის წინა პროგნოზი (2023 წლის დეკემბერი) </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79 350.4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85 980.9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92 988.4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100 566.9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108 763.1</w:t>
            </w:r>
          </w:p>
        </w:tc>
        <w:tc>
          <w:tcPr>
            <w:tcW w:w="504" w:type="pct"/>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 </w:t>
            </w:r>
          </w:p>
        </w:tc>
      </w:tr>
      <w:tr w:rsidR="00F27947" w:rsidRPr="00511B42" w:rsidTr="009821BC">
        <w:trPr>
          <w:trHeight w:val="390"/>
        </w:trPr>
        <w:tc>
          <w:tcPr>
            <w:tcW w:w="1975" w:type="pct"/>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ნომინალური მშპ-ის ახალი პროგნოზი</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80 246.1</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89 607.9</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97 372.4</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105 308.2</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114 107.8</w:t>
            </w:r>
          </w:p>
        </w:tc>
        <w:tc>
          <w:tcPr>
            <w:tcW w:w="504" w:type="pct"/>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123 760.2</w:t>
            </w:r>
          </w:p>
        </w:tc>
      </w:tr>
    </w:tbl>
    <w:p w:rsidR="00F27947" w:rsidRPr="00511B42" w:rsidRDefault="00F27947" w:rsidP="00F27947">
      <w:pPr>
        <w:pStyle w:val="NoSpacing"/>
        <w:spacing w:line="276" w:lineRule="auto"/>
        <w:rPr>
          <w:rFonts w:ascii="Sylfaen" w:eastAsia="Times New Roman" w:hAnsi="Sylfaen" w:cs="Calibri"/>
          <w:bCs/>
          <w:color w:val="000000"/>
          <w:sz w:val="18"/>
          <w:szCs w:val="20"/>
          <w:lang w:val="ka-GE"/>
        </w:rPr>
      </w:pP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sidRPr="00511B42">
        <w:rPr>
          <w:rFonts w:ascii="Sylfaen" w:hAnsi="Sylfaen"/>
          <w:color w:val="000000" w:themeColor="text1"/>
        </w:rPr>
        <w:t>2</w:t>
      </w:r>
      <w:r w:rsidRPr="00511B42">
        <w:rPr>
          <w:rFonts w:ascii="Sylfaen" w:hAnsi="Sylfaen"/>
          <w:color w:val="000000" w:themeColor="text1"/>
          <w:lang w:val="ka-GE"/>
        </w:rPr>
        <w:t>3 წლის ნომინალური მშპ-ს ფაქტობრივი მნიშვნელობა მშპ-ს წინა პროგნოზს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დეკემბერი) აღემატება, რაც გარკვეულწილად გამოწვეულია ინვესტიციების მოსალოდნელზე მაღალი მაჩვენებლით. ამასთან, ზოგადი ფასების დონის ნაკლები ტემპით ზრდის (გარკვეული სასაქონლო კატეგორიების შემთხვევაში კლებაც ფიქსირდება) შედეგად, 2024 წელს 2023 წლის დეკემბრის პროგნოზთან შედარებით გაზრდილია მშპ-ს დეფლატორის პროგნოზიც. როგორც ზემოთ აღინიშნა, მიმდინარე ტენდენციებისა და დაფიქსირებული მაღალი ეკონომიკური აქტივობის ფონზე, 2024 წლის რეალური მშპ-ს ზრდის ახალი პროგნოზი აღემატება 2023 წლის პროგნოზს, ასევე უმნიშვნელოდ  გაზრდილია დეფლატორის საპროგნოზო მაჩვენებელი 2024 წელს და შესაბამისად, გაზრდილია ნომინალური მშპ-ს პროგნოზიც როგორც 2024 წლისთვის, ისე საშუალოვადიანი პერიოდისთვის. </w:t>
      </w:r>
    </w:p>
    <w:p w:rsidR="00F27947" w:rsidRPr="00511B42" w:rsidRDefault="00F27947" w:rsidP="00F27947">
      <w:pPr>
        <w:spacing w:after="0" w:line="276" w:lineRule="auto"/>
        <w:ind w:firstLine="567"/>
        <w:jc w:val="both"/>
        <w:rPr>
          <w:rFonts w:ascii="Sylfaen" w:hAnsi="Sylfaen"/>
          <w:color w:val="000000" w:themeColor="text1"/>
          <w:lang w:val="ka-GE"/>
        </w:rPr>
      </w:pPr>
    </w:p>
    <w:p w:rsidR="00F27947" w:rsidRPr="00511B42" w:rsidRDefault="00F27947" w:rsidP="00F27947">
      <w:pPr>
        <w:pStyle w:val="NoSpacing"/>
        <w:spacing w:line="276" w:lineRule="auto"/>
        <w:ind w:firstLine="567"/>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3. ნაერთი ბიუჯეტი</w:t>
      </w:r>
    </w:p>
    <w:p w:rsidR="00F27947" w:rsidRPr="00511B42" w:rsidRDefault="00F27947" w:rsidP="00F27947">
      <w:pPr>
        <w:pStyle w:val="NoSpacing"/>
        <w:spacing w:line="276" w:lineRule="auto"/>
        <w:ind w:firstLine="567"/>
        <w:jc w:val="right"/>
        <w:rPr>
          <w:rFonts w:ascii="Sylfaen" w:eastAsia="Times New Roman" w:hAnsi="Sylfaen" w:cs="Calibri"/>
          <w:b/>
          <w:bCs/>
          <w:color w:val="000000"/>
          <w:sz w:val="16"/>
          <w:szCs w:val="20"/>
          <w:lang w:val="ka-GE"/>
        </w:rPr>
      </w:pPr>
      <w:r w:rsidRPr="00511B42">
        <w:rPr>
          <w:rFonts w:ascii="Sylfaen" w:eastAsia="Times New Roman" w:hAnsi="Sylfaen" w:cs="Calibri"/>
          <w:b/>
          <w:bCs/>
          <w:color w:val="000000"/>
          <w:sz w:val="16"/>
          <w:szCs w:val="20"/>
          <w:lang w:val="ka-GE"/>
        </w:rPr>
        <w:t>/მლნ ლარი/</w:t>
      </w: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color w:val="000000"/>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შემოსავლების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21 640.0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24 398.0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26 124.0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27 788.0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29 868.0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შემოსავლების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22 124.2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25 235.0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26 730.0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28 760.0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30 930.0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33 380.0</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484.2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837.0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606.0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972.0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1 062.0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300" w:firstLine="540"/>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მ.შ. გადასახადები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322.6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847.0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601.0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897.0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992.0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ხარჯები და არაფინანსური აქტივების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24 320.0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26 978.0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28 472.0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30 178.0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32 460.0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w:t>
            </w:r>
          </w:p>
        </w:tc>
      </w:tr>
      <w:tr w:rsidR="00F27947" w:rsidRPr="00511B42" w:rsidTr="009821BC">
        <w:trPr>
          <w:trHeight w:val="765"/>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ხარჯები და არაფინანსური აქტივების ზრდის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24 447.0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27 870.0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29 411.0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31 590.0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33 885.0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36 440.0</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126.5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892.0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939.0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1 412.0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1 425.0</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bl>
    <w:p w:rsidR="00F27947" w:rsidRPr="00511B42" w:rsidRDefault="00F27947" w:rsidP="00F27947">
      <w:pPr>
        <w:pStyle w:val="NoSpacing"/>
        <w:spacing w:line="276" w:lineRule="auto"/>
        <w:ind w:firstLine="567"/>
        <w:rPr>
          <w:rFonts w:ascii="Sylfaen" w:eastAsia="Times New Roman" w:hAnsi="Sylfaen" w:cs="Calibri"/>
          <w:b/>
          <w:bCs/>
          <w:color w:val="000000"/>
          <w:sz w:val="16"/>
          <w:szCs w:val="20"/>
          <w:lang w:val="ka-GE"/>
        </w:rPr>
      </w:pP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511B42">
        <w:rPr>
          <w:rFonts w:ascii="Sylfaen" w:eastAsia="Times New Roman" w:hAnsi="Sylfaen" w:cs="Sylfaen"/>
          <w:bCs/>
          <w:color w:val="000000" w:themeColor="text1"/>
          <w:sz w:val="20"/>
          <w:szCs w:val="20"/>
        </w:rPr>
        <w:t>№</w:t>
      </w:r>
      <w:r w:rsidRPr="00511B42">
        <w:rPr>
          <w:rFonts w:ascii="Sylfaen" w:hAnsi="Sylfaen"/>
          <w:color w:val="000000" w:themeColor="text1"/>
          <w:lang w:val="ka-GE"/>
        </w:rPr>
        <w:t xml:space="preserve">3 ცხრილში.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გადასახადებიდან მიღებული შემოსავლების ზრდით არის განპირობებული. </w:t>
      </w:r>
    </w:p>
    <w:p w:rsidR="00F27947" w:rsidRPr="00511B42" w:rsidRDefault="00F27947" w:rsidP="00F27947">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პროგნოზებიც გაზრდილია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დეკემბრის პროგნოზებთან შედარებით, რაც ითვალისწინებს ძირითადად განათლების და სოციალური მიმართულებით ხარჯებს. </w:t>
      </w:r>
      <w:r>
        <w:rPr>
          <w:rFonts w:ascii="Sylfaen" w:hAnsi="Sylfaen"/>
          <w:color w:val="000000" w:themeColor="text1"/>
          <w:lang w:val="ka-GE"/>
        </w:rPr>
        <w:t>მიმდინარე წლის ხარჯებისა და არაფინასნური აქტივების ზრდის პროგნოზები გ</w:t>
      </w:r>
      <w:r w:rsidRPr="00511B42">
        <w:rPr>
          <w:rFonts w:ascii="Sylfaen" w:hAnsi="Sylfaen"/>
          <w:color w:val="000000" w:themeColor="text1"/>
          <w:lang w:val="ka-GE"/>
        </w:rPr>
        <w:t xml:space="preserve">ადამუშავდა და შესაბამისად, შემდგომი საშუალოვადიანი პერიოდის </w:t>
      </w:r>
      <w:r w:rsidRPr="00511B42">
        <w:rPr>
          <w:rFonts w:ascii="Sylfaen" w:hAnsi="Sylfaen"/>
          <w:color w:val="000000" w:themeColor="text1"/>
          <w:lang w:val="ka-GE"/>
        </w:rPr>
        <w:lastRenderedPageBreak/>
        <w:t xml:space="preserve">პროგნოზებიც განახლდა არსებული ტენდენციების გათვალისწინებით. </w:t>
      </w:r>
      <w:r>
        <w:rPr>
          <w:rFonts w:ascii="Sylfaen" w:hAnsi="Sylfaen"/>
          <w:color w:val="000000" w:themeColor="text1"/>
          <w:lang w:val="ka-GE"/>
        </w:rPr>
        <w:t>აღნიშნულთან დაკავშირებით ინფორმაცია წარმოდგენილია დოკუმენტის მეორე ნაწილში (ფისკალური ჩარჩო და ფისკალურ წესებთამ შესაბამისობა).</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 xml:space="preserve">ცხრილი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4</w:t>
      </w:r>
      <w:r w:rsidRPr="00511B42">
        <w:rPr>
          <w:rFonts w:ascii="Sylfaen" w:eastAsia="Times New Roman" w:hAnsi="Sylfaen" w:cs="Calibri"/>
          <w:bCs/>
          <w:color w:val="000000" w:themeColor="text1"/>
          <w:sz w:val="20"/>
          <w:szCs w:val="20"/>
          <w:lang w:val="ka-GE"/>
        </w:rPr>
        <w:t xml:space="preserve"> </w:t>
      </w:r>
      <w:r w:rsidRPr="00511B42">
        <w:rPr>
          <w:rFonts w:ascii="Sylfaen" w:eastAsia="Times New Roman" w:hAnsi="Sylfaen" w:cs="Calibri"/>
          <w:b/>
          <w:bCs/>
          <w:color w:val="000000" w:themeColor="text1"/>
          <w:sz w:val="20"/>
          <w:szCs w:val="20"/>
          <w:lang w:val="ka-GE"/>
        </w:rPr>
        <w:t>საერთაშორისო სავალუტო ფონდთან პროგრამით გათვალისწინებული მოდიფიცირებული დეფიციტი:</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6"/>
                <w:szCs w:val="16"/>
                <w:lang w:val="en-GB" w:eastAsia="en-GB"/>
              </w:rPr>
            </w:pPr>
            <w:r w:rsidRPr="00511B42">
              <w:rPr>
                <w:rFonts w:ascii="Sylfaen" w:eastAsia="Times New Roman" w:hAnsi="Sylfaen" w:cs="Calibri"/>
                <w:b/>
                <w:bCs/>
                <w:color w:val="000000"/>
                <w:sz w:val="16"/>
                <w:szCs w:val="16"/>
                <w:lang w:eastAsia="en-GB"/>
              </w:rPr>
              <w:t>% მშპ-სთან</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b/>
                <w:bCs/>
                <w:color w:val="000000"/>
                <w:sz w:val="16"/>
                <w:szCs w:val="16"/>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2024-2027 წლების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2025-2028 წლების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r>
    </w:tbl>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spacing w:before="240" w:after="0" w:line="276" w:lineRule="auto"/>
        <w:ind w:firstLine="567"/>
        <w:jc w:val="both"/>
        <w:rPr>
          <w:rFonts w:ascii="Sylfaen" w:hAnsi="Sylfaen"/>
          <w:lang w:val="ka-GE"/>
        </w:rPr>
      </w:pPr>
      <w:r w:rsidRPr="00511B42">
        <w:rPr>
          <w:rFonts w:ascii="Sylfaen" w:hAnsi="Sylfaen"/>
          <w:lang w:val="ka-GE"/>
        </w:rPr>
        <w:t xml:space="preserve">რაც შეეხება მიმდინარე ანგარიშის ბალანსს დოლარებში, საპროგნოზო მაჩვენებლები გაუარესებულია 2024-2027 წლებისთვის. გაუარესებული მიმდინარე ანგარიშის პროგნოზი ძირითადად ტრანსფერებიდან მიღებული შემოსავლების ბალანსის მნიშვნელოვანი გაუარესებით არის გამოწვეული, რაც ამცირებს მეორად შემოსავალს, ძირითადად კერძო სექტორის მხრიდან. გაუმჯობესებულია საქონლისა და მომსახურების ბალანსი (ძირითადად ტურიზმის ზრდის ხარჯზე). რაც შეეხება პირველად შემოსავალს, მოსალოდნელია ასევე მისი შემცირებაც 2023 წლის დეკემბერში მოსალოდნელ დონესთან შედარებით.  </w:t>
      </w:r>
    </w:p>
    <w:p w:rsidR="00F27947" w:rsidRPr="00511B42" w:rsidRDefault="00F27947" w:rsidP="00F27947">
      <w:pPr>
        <w:spacing w:after="0" w:line="276" w:lineRule="auto"/>
        <w:jc w:val="both"/>
        <w:rPr>
          <w:rFonts w:ascii="Sylfaen" w:eastAsia="Times New Roman" w:hAnsi="Sylfaen" w:cs="Calibri"/>
          <w:b/>
          <w:bCs/>
          <w:color w:val="000000" w:themeColor="text1"/>
          <w:sz w:val="20"/>
          <w:szCs w:val="20"/>
          <w:lang w:val="ka-GE"/>
        </w:rPr>
      </w:pPr>
    </w:p>
    <w:p w:rsidR="00F27947" w:rsidRPr="00511B42" w:rsidRDefault="00F27947" w:rsidP="00F27947">
      <w:pPr>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rPr>
        <w:t>ცხრ</w:t>
      </w:r>
      <w:r w:rsidRPr="00511B42">
        <w:rPr>
          <w:rFonts w:ascii="Sylfaen" w:eastAsia="Times New Roman" w:hAnsi="Sylfaen" w:cs="Calibri"/>
          <w:b/>
          <w:bCs/>
          <w:color w:val="000000" w:themeColor="text1"/>
          <w:sz w:val="20"/>
          <w:szCs w:val="20"/>
          <w:lang w:val="ka-GE"/>
        </w:rPr>
        <w:t xml:space="preserve">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5</w:t>
      </w:r>
      <w:r w:rsidRPr="00511B42">
        <w:rPr>
          <w:rFonts w:ascii="Sylfaen" w:eastAsia="Times New Roman" w:hAnsi="Sylfaen" w:cs="Calibri"/>
          <w:b/>
          <w:bCs/>
          <w:color w:val="000000" w:themeColor="text1"/>
          <w:sz w:val="20"/>
          <w:szCs w:val="20"/>
          <w:lang w:val="ka-GE"/>
        </w:rPr>
        <w:t xml:space="preserve"> მიმდინარე ანგარიშის ბალანსი</w:t>
      </w:r>
    </w:p>
    <w:p w:rsidR="00F27947" w:rsidRPr="00511B42" w:rsidRDefault="00F27947" w:rsidP="00F27947">
      <w:pPr>
        <w:spacing w:after="0"/>
        <w:jc w:val="right"/>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/მლნ აშშ დოლარი/</w:t>
      </w:r>
    </w:p>
    <w:tbl>
      <w:tblPr>
        <w:tblW w:w="5000" w:type="pct"/>
        <w:tblLook w:val="04A0" w:firstRow="1" w:lastRow="0" w:firstColumn="1" w:lastColumn="0" w:noHBand="0" w:noVBand="1"/>
      </w:tblPr>
      <w:tblGrid>
        <w:gridCol w:w="4084"/>
        <w:gridCol w:w="1043"/>
        <w:gridCol w:w="1042"/>
        <w:gridCol w:w="1042"/>
        <w:gridCol w:w="1042"/>
        <w:gridCol w:w="1042"/>
        <w:gridCol w:w="1042"/>
      </w:tblGrid>
      <w:tr w:rsidR="00F27947" w:rsidRPr="00511B42" w:rsidTr="009821BC">
        <w:trPr>
          <w:trHeight w:val="300"/>
          <w:tblHeader/>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F27947" w:rsidRPr="00511B42" w:rsidTr="009821BC">
        <w:trPr>
          <w:trHeight w:val="300"/>
          <w:tblHeader/>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 - ძველი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-1 391.1</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-1 499.6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-1 565.0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-1 604.2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-1 618.7</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ცვლილებები სულ</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48.9</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-115.9</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-73.4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-59.3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-94.1</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წმინდა ექსპორტი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492.6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279.4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255.7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233.0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154.5</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პირველადი შემოსავალი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-259.7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-152.8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-54.7</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-7.8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23.6</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მეორადი შემოსავალი (ტრანსფერები)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-184.0</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-242.4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-274.4</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-284.5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-272.1</w:t>
            </w:r>
          </w:p>
        </w:tc>
        <w:tc>
          <w:tcPr>
            <w:tcW w:w="504" w:type="pct"/>
            <w:tcBorders>
              <w:top w:val="nil"/>
              <w:left w:val="nil"/>
              <w:bottom w:val="single" w:sz="4" w:space="0" w:color="auto"/>
              <w:right w:val="single" w:sz="4" w:space="0" w:color="auto"/>
            </w:tcBorders>
            <w:shd w:val="clear" w:color="000000" w:fill="F2F2F2"/>
            <w:vAlign w:val="center"/>
            <w:hideMark/>
          </w:tcPr>
          <w:p w:rsidR="00F27947" w:rsidRPr="00511B42" w:rsidRDefault="00F27947" w:rsidP="009821BC">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F27947" w:rsidRPr="00511B42" w:rsidTr="009821BC">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-1 342.2</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-1 615.6</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-1 638.3</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-1 663.5</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-1 712.8</w:t>
            </w:r>
          </w:p>
        </w:tc>
        <w:tc>
          <w:tcPr>
            <w:tcW w:w="504" w:type="pct"/>
            <w:tcBorders>
              <w:top w:val="nil"/>
              <w:left w:val="nil"/>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-1 770.4</w:t>
            </w:r>
          </w:p>
        </w:tc>
      </w:tr>
    </w:tbl>
    <w:p w:rsidR="00F27947" w:rsidRPr="00511B42" w:rsidRDefault="00F27947" w:rsidP="00F27947">
      <w:pPr>
        <w:rPr>
          <w:rFonts w:ascii="Sylfaen" w:eastAsia="Times New Roman" w:hAnsi="Sylfaen" w:cs="Calibri"/>
          <w:b/>
          <w:bCs/>
          <w:color w:val="000000" w:themeColor="text1"/>
          <w:sz w:val="20"/>
          <w:szCs w:val="20"/>
          <w:lang w:val="ka-GE"/>
        </w:rPr>
      </w:pPr>
    </w:p>
    <w:p w:rsidR="00F27947" w:rsidRPr="00511B42" w:rsidRDefault="00F27947" w:rsidP="00F27947">
      <w:pPr>
        <w:pStyle w:val="NoSpacing"/>
        <w:spacing w:line="276" w:lineRule="auto"/>
        <w:ind w:firstLine="567"/>
        <w:jc w:val="both"/>
        <w:rPr>
          <w:rFonts w:ascii="Sylfaen" w:hAnsi="Sylfaen"/>
          <w:lang w:val="ka-GE"/>
        </w:rPr>
      </w:pPr>
      <w:r w:rsidRPr="00511B42">
        <w:rPr>
          <w:rFonts w:ascii="Sylfaen" w:hAnsi="Sylfaen"/>
          <w:lang w:val="ka-GE"/>
        </w:rPr>
        <w:t>მიმდინარე ანგარიშის ცვლილება 2024 წლისთვის გამოწვეულია ძირითადად ტრანსფერებისა და პირველადი შემოსავლის შემცირებით, ხოლო მეორე მხრივ, წმინდა ექსპორტის საპროგნოზო მაჩვენებლები დეკემბრის პროგნოზებთან შედარებით უფრო მაღალია, რაც ძირითადად მომსახურებით სავაჭრო ბალანსის დადებითი სალდოს ზრდას უკავშირდება. აღნიშნული ცვლილებების შედეგად, უარყოფითმა ცვლილებებმა გადაწონა და გამოიწვია პროგნოზის შემცირება.</w:t>
      </w:r>
    </w:p>
    <w:p w:rsidR="00F27947" w:rsidRDefault="00F27947" w:rsidP="00F27947">
      <w:pPr>
        <w:pStyle w:val="NoSpacing"/>
        <w:spacing w:line="276" w:lineRule="auto"/>
        <w:ind w:firstLine="567"/>
        <w:jc w:val="both"/>
        <w:rPr>
          <w:rFonts w:ascii="Sylfaen" w:hAnsi="Sylfaen"/>
          <w:lang w:val="ka-GE"/>
        </w:rPr>
      </w:pPr>
      <w:r w:rsidRPr="00511B42">
        <w:rPr>
          <w:rFonts w:ascii="Sylfaen" w:hAnsi="Sylfaen"/>
          <w:lang w:val="ka-GE"/>
        </w:rPr>
        <w:lastRenderedPageBreak/>
        <w:t>მიუხედავად აბსოლუტურ მნიშვნელობებში მცირედი გაუარესებისა, როგორც 2024 ისე საშუალოვადიან პერიოდში მიმდინარე ანგარიშის დეფიციტის მშპ-სთან ფარდობის მაჩვენებელი თითოეულ წელს გაუმჯობესებულია.</w:t>
      </w:r>
    </w:p>
    <w:p w:rsidR="00F27947" w:rsidRPr="00511B42" w:rsidRDefault="00F27947" w:rsidP="00F27947">
      <w:pPr>
        <w:pStyle w:val="NoSpacing"/>
        <w:spacing w:line="276" w:lineRule="auto"/>
        <w:ind w:firstLine="567"/>
        <w:jc w:val="both"/>
        <w:rPr>
          <w:rFonts w:ascii="Sylfaen" w:hAnsi="Sylfaen"/>
          <w:lang w:val="ka-GE"/>
        </w:rPr>
      </w:pPr>
    </w:p>
    <w:p w:rsidR="00F27947" w:rsidRPr="00511B42" w:rsidRDefault="00F27947" w:rsidP="00F27947">
      <w:pPr>
        <w:pStyle w:val="Heading1"/>
        <w:numPr>
          <w:ilvl w:val="0"/>
          <w:numId w:val="1"/>
        </w:numPr>
        <w:rPr>
          <w:rFonts w:ascii="Sylfaen" w:hAnsi="Sylfaen"/>
          <w:b/>
          <w:sz w:val="28"/>
          <w:lang w:val="ka-GE"/>
        </w:rPr>
      </w:pPr>
      <w:bookmarkStart w:id="1" w:name="_Toc89118360"/>
      <w:r w:rsidRPr="00511B42">
        <w:rPr>
          <w:rFonts w:ascii="Sylfaen" w:hAnsi="Sylfaen"/>
          <w:b/>
          <w:sz w:val="28"/>
          <w:lang w:val="ka-GE"/>
        </w:rPr>
        <w:t xml:space="preserve">ფისკალური ჩარჩო და </w:t>
      </w:r>
      <w:r>
        <w:rPr>
          <w:rFonts w:ascii="Sylfaen" w:hAnsi="Sylfaen"/>
          <w:b/>
          <w:sz w:val="28"/>
          <w:lang w:val="ka-GE"/>
        </w:rPr>
        <w:t>ფისკალურ</w:t>
      </w:r>
      <w:r w:rsidRPr="00511B42">
        <w:rPr>
          <w:rFonts w:ascii="Sylfaen" w:hAnsi="Sylfaen"/>
          <w:b/>
          <w:sz w:val="28"/>
          <w:lang w:val="ka-GE"/>
        </w:rPr>
        <w:t xml:space="preserve"> წესებთან შესაბამისობა</w:t>
      </w:r>
      <w:bookmarkEnd w:id="1"/>
    </w:p>
    <w:p w:rsidR="00F27947" w:rsidRPr="00511B42" w:rsidRDefault="00F27947" w:rsidP="00F27947">
      <w:pPr>
        <w:rPr>
          <w:rFonts w:ascii="Sylfaen" w:hAnsi="Sylfaen"/>
          <w:lang w:val="ka-GE"/>
        </w:rPr>
      </w:pPr>
    </w:p>
    <w:p w:rsidR="00F27947" w:rsidRPr="00511B42" w:rsidRDefault="00F27947" w:rsidP="00F27947">
      <w:pPr>
        <w:pStyle w:val="Heading2"/>
        <w:ind w:left="1080"/>
        <w:rPr>
          <w:rFonts w:ascii="Sylfaen" w:hAnsi="Sylfaen"/>
          <w:lang w:val="ka-GE"/>
        </w:rPr>
      </w:pPr>
      <w:bookmarkStart w:id="2" w:name="_Toc89118361"/>
      <w:r w:rsidRPr="00511B42">
        <w:rPr>
          <w:rFonts w:ascii="Sylfaen" w:hAnsi="Sylfaen"/>
          <w:lang w:val="ka-GE"/>
        </w:rPr>
        <w:t>2.1 ფისკალური ჩარჩოს შედარება</w:t>
      </w:r>
      <w:bookmarkEnd w:id="2"/>
    </w:p>
    <w:p w:rsidR="00F27947" w:rsidRPr="00511B42" w:rsidRDefault="00F27947" w:rsidP="00F27947">
      <w:pPr>
        <w:jc w:val="right"/>
        <w:rPr>
          <w:rFonts w:ascii="Sylfaen" w:hAnsi="Sylfaen"/>
          <w:b/>
          <w:i/>
          <w:sz w:val="18"/>
          <w:u w:val="single"/>
        </w:rPr>
      </w:pPr>
    </w:p>
    <w:p w:rsidR="00F27947" w:rsidRDefault="00F27947" w:rsidP="00F27947">
      <w:pPr>
        <w:spacing w:before="240" w:after="0"/>
        <w:ind w:firstLine="709"/>
        <w:jc w:val="both"/>
        <w:rPr>
          <w:rFonts w:ascii="Sylfaen" w:hAnsi="Sylfaen"/>
          <w:lang w:val="ka-GE"/>
        </w:rPr>
      </w:pPr>
      <w:r>
        <w:rPr>
          <w:rFonts w:ascii="Sylfaen" w:hAnsi="Sylfaen"/>
          <w:lang w:val="ka-GE"/>
        </w:rPr>
        <w:t xml:space="preserve">ამ ნაწილში განახლებული, 2025-2028 წლების საშუალოვადიანი ფისკალური პროგნოზები შედარებულია 2021-2023 წლებში მომზადებულ და მიმდინარე წლის ივლისში განახლებულ  საშუალოვადიან პროგნოზებთან. კერძოდ, შემოსულობები და მიმდინარე და კაპიტალური ხარჯები.   </w:t>
      </w:r>
    </w:p>
    <w:p w:rsidR="00F27947" w:rsidRDefault="00F27947" w:rsidP="00F27947">
      <w:pPr>
        <w:spacing w:after="0"/>
        <w:ind w:firstLine="709"/>
        <w:jc w:val="both"/>
        <w:rPr>
          <w:rFonts w:ascii="Sylfaen" w:hAnsi="Sylfaen"/>
          <w:lang w:val="ka-GE"/>
        </w:rPr>
      </w:pPr>
      <w:r w:rsidRPr="00511B42">
        <w:rPr>
          <w:rFonts w:ascii="Sylfaen" w:hAnsi="Sylfaen"/>
          <w:lang w:val="ka-GE"/>
        </w:rPr>
        <w:t>პამდემიის შემდგომ პერიოდში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r>
        <w:rPr>
          <w:rFonts w:ascii="Sylfaen" w:hAnsi="Sylfaen"/>
          <w:lang w:val="ka-GE"/>
        </w:rPr>
        <w:t>.</w:t>
      </w:r>
    </w:p>
    <w:p w:rsidR="00F27947" w:rsidRDefault="00F27947" w:rsidP="00F27947">
      <w:pPr>
        <w:spacing w:after="0"/>
        <w:ind w:firstLine="709"/>
        <w:jc w:val="both"/>
        <w:rPr>
          <w:rFonts w:ascii="Sylfaen" w:hAnsi="Sylfaen"/>
          <w:lang w:val="ka-GE"/>
        </w:rPr>
      </w:pPr>
      <w:r w:rsidRPr="00511B42">
        <w:rPr>
          <w:rFonts w:ascii="Sylfaen" w:hAnsi="Sylfaen"/>
          <w:lang w:val="ka-GE"/>
        </w:rPr>
        <w:t>2021 წელს რეალურმა ეკონომიკურმა ზრდამ თავდაპირველად პროგნოზირებული 4,3%-ის ნაცვლად 10,6%, ხოლო 2022 წლისთვის პროგნოზირებული 6,0%-ის ნაცვლად 11,0% შეადგინა.  ორი წლის განმავლობაში ორნიშნა ეკონომიკური ზრდის შედეგად მაღალი საბაზო მაჩვენებლების მიუხედავად დადებითი ტენდენციები შენარჩუნდა 2023 წელსაც, კერძოდ თავდაპირველად პროგნოზირებული 5,0%-ის ნაცვლად რეალურმა ეკონომიკურმა ზრდამ 7,5% შეადგინა.</w:t>
      </w:r>
    </w:p>
    <w:p w:rsidR="00F27947" w:rsidRDefault="00F27947" w:rsidP="00F27947">
      <w:pPr>
        <w:spacing w:after="0"/>
        <w:ind w:firstLine="709"/>
        <w:jc w:val="both"/>
        <w:rPr>
          <w:rFonts w:ascii="Sylfaen" w:hAnsi="Sylfaen"/>
          <w:lang w:val="ka-GE"/>
        </w:rPr>
      </w:pPr>
      <w:r w:rsidRPr="00511B42">
        <w:rPr>
          <w:rFonts w:ascii="Sylfaen" w:hAnsi="Sylfaen"/>
          <w:lang w:val="ka-GE"/>
        </w:rPr>
        <w:t>ჯამში 2021-2023 წლებში ეკონომიკის რეალური ზრდის ჯამურმა მაჩვენებელმა 32,0% შეადგინა, ხოლო ნომინალური მთლიანი შიდა პროდუქტი 2020 წელთან შედარებით 63%-ით გაიზარდა და 80</w:t>
      </w:r>
      <w:r w:rsidRPr="00511B42">
        <w:rPr>
          <w:rFonts w:ascii="Sylfaen" w:hAnsi="Sylfaen"/>
        </w:rPr>
        <w:t>.2</w:t>
      </w:r>
      <w:r w:rsidRPr="00511B42">
        <w:rPr>
          <w:rFonts w:ascii="Sylfaen" w:hAnsi="Sylfaen"/>
          <w:lang w:val="ka-GE"/>
        </w:rPr>
        <w:t xml:space="preserve"> მლრდ ლარს გადააჭარბა.</w:t>
      </w:r>
    </w:p>
    <w:p w:rsidR="00F27947" w:rsidRDefault="00F27947" w:rsidP="00F27947">
      <w:pPr>
        <w:spacing w:after="0"/>
        <w:ind w:firstLine="709"/>
        <w:jc w:val="both"/>
        <w:rPr>
          <w:rFonts w:ascii="Sylfaen" w:hAnsi="Sylfaen"/>
          <w:lang w:val="ka-GE"/>
        </w:rPr>
      </w:pPr>
      <w:r w:rsidRPr="00511B42">
        <w:rPr>
          <w:rFonts w:ascii="Sylfaen" w:hAnsi="Sylfaen"/>
          <w:lang w:val="ka-GE"/>
        </w:rPr>
        <w:t>მაღალმა ეკონომიკურმა მაჩვენებლებმა შესაძლებელი გახადა უმოკლეს ვადებში განხორციელებულიყო მნიშვნელოვანი ფისკალური კონსოლიდაცია და შედეგად შემცირებულიყო ბიუჯეტის დეფიციტის და მთავრობის ვალის მაჩვენებლები. კერძოდ, 2020 წელს პანდემიის შედეგად მშპ-ს 9,3%-მდე გაზრდილი ნაერთი ბიუჯეტის დეფიციტი, 2022 წლის ბოლოსთვის დაუბრუნდა კანონით განსაზღვრულ 3%-იან მაჩვენებელს, ხოლო 2023 წლიდან მისი მაჩვენებელი მშპ-ს 2,5%-ის დონეზეა (ნომინალურ გამოხატულებაში დეფიციტი შემცირდება</w:t>
      </w:r>
      <w:r>
        <w:rPr>
          <w:rFonts w:ascii="Sylfaen" w:hAnsi="Sylfaen"/>
          <w:lang w:val="ka-GE"/>
        </w:rPr>
        <w:t xml:space="preserve"> 2.4 მლრდ</w:t>
      </w:r>
      <w:r w:rsidRPr="00511B42">
        <w:rPr>
          <w:rFonts w:ascii="Sylfaen" w:hAnsi="Sylfaen"/>
          <w:lang w:val="ka-GE"/>
        </w:rPr>
        <w:t xml:space="preserve"> ლარზე მეტით). მთავრობის ვალის მოცულობა 2020 წლის 60,2%-იდან 2022 წელს ჩამოვიდა უსაფრთხო, მშპ-ს 40%-იან მაჩვენებელზე დაბლა და მას შემდგომ გრძელდება მისი შემცირების კლებადი დინამიკა.</w:t>
      </w:r>
    </w:p>
    <w:p w:rsidR="00F27947" w:rsidRDefault="00F27947" w:rsidP="00F27947">
      <w:pPr>
        <w:spacing w:after="0"/>
        <w:ind w:firstLine="709"/>
        <w:jc w:val="both"/>
        <w:rPr>
          <w:rFonts w:ascii="Sylfaen" w:hAnsi="Sylfaen"/>
          <w:lang w:val="ka-GE"/>
        </w:rPr>
      </w:pPr>
      <w:r w:rsidRPr="00511B42">
        <w:rPr>
          <w:rFonts w:ascii="Sylfaen" w:hAnsi="Sylfaen"/>
          <w:lang w:val="ka-GE"/>
        </w:rPr>
        <w:t xml:space="preserve">დაგეგმილთან შედარებით მაღალი ეკონომიკური ტენდენციებია 2024 წელსაც, კერძოდ 2023 წლის ბოლოს, მიმდინარე წლის რეალური ეკონომიკური ზრდის პროგნოზი განისაზღვრა 5,2%-ის ოდენობით, ხოლო მთლიანი შიდა პროდუქტის ნომინალური მაჩვენებლის პროგნოზმა 86,0 მლრდ ლარამდე შეადგინა. საგადასახადო შემოსავლების გეგმამ 22,1 მლრდ ლარი შეადგინა, ბიუჯეტის დეფიციტი განისაზღვრა 2,5%-ის, ხოლო მთავრობის ვალი 38%-ის ფარგლებში იყო პროგნოზირებული. წლის პირველ ნახევარში რეალურმა ეკონომიკურმა ზრდამ 9,1% შეადგინა, რისი გათვალისწინებითაც გადაიხედა წლიური ზრდის საპროგნოზო მაჩვენებელი და ნაცვლად 5,2%-ისა, მიმდინარე წლის ივლისში განისაზღვრა 6,0%-ის, ხოლო მიმდინარე წლის სექტემბერში 8,2%-ის ოდენობით. მთლიანი </w:t>
      </w:r>
      <w:r w:rsidRPr="00511B42">
        <w:rPr>
          <w:rFonts w:ascii="Sylfaen" w:hAnsi="Sylfaen"/>
          <w:lang w:val="ka-GE"/>
        </w:rPr>
        <w:lastRenderedPageBreak/>
        <w:t>შიდა პროდუქტის ნომინალური მაჩვენებლის პროგნოზი წინა წლის დეკემბერში დაგეგმილი 86.0 მლრდ ლარიდან 89,6 მილიარდ ლარამდე გაიზარდა.</w:t>
      </w:r>
    </w:p>
    <w:p w:rsidR="00F27947" w:rsidRDefault="00F27947" w:rsidP="00F27947">
      <w:pPr>
        <w:spacing w:after="0"/>
        <w:ind w:firstLine="709"/>
        <w:jc w:val="both"/>
        <w:rPr>
          <w:rFonts w:ascii="Sylfaen" w:hAnsi="Sylfaen"/>
          <w:lang w:val="ka-GE"/>
        </w:rPr>
      </w:pPr>
      <w:r w:rsidRPr="00511B42">
        <w:rPr>
          <w:rFonts w:ascii="Sylfaen" w:hAnsi="Sylfaen"/>
          <w:lang w:val="ka-GE"/>
        </w:rPr>
        <w:t xml:space="preserve">აღნიშნულის გათვალისწინებით, განახლდა მიმდინარე წლის და საშუალოვადიანი პერიოდის პროგნოზები. </w:t>
      </w:r>
    </w:p>
    <w:p w:rsidR="00F27947" w:rsidRPr="00E638C3" w:rsidRDefault="00F27947" w:rsidP="00F27947">
      <w:pPr>
        <w:spacing w:after="0"/>
        <w:ind w:firstLine="709"/>
        <w:jc w:val="both"/>
        <w:rPr>
          <w:rFonts w:ascii="Sylfaen" w:hAnsi="Sylfaen"/>
          <w:lang w:val="ka-GE"/>
        </w:rPr>
      </w:pPr>
      <w:r w:rsidRPr="00511B42">
        <w:rPr>
          <w:rFonts w:ascii="Sylfaen" w:hAnsi="Sylfaen"/>
          <w:color w:val="000000" w:themeColor="text1"/>
          <w:lang w:val="ka-GE"/>
        </w:rPr>
        <w:t xml:space="preserve">2024 წლის ნაერთი ბიუჯეტის შემოსავლების განახლებული საპროგნოზო მაჩვენებლები 2023 წლის დეკემბრის პროგნოზთან შედარებით გაზრდილია, რაც ძირითადად გადასახადებიდან მიღებული შემოსავლების ზრდით არის განპირობებული. ამასთან, დამატებითი რესურსები მიიმართება მიმდინარე წელს არსებული ვალდებულებების სრულად დასაფინანსებლად, მათ შორისაა ჯანდაცვის და განათლების მიმართულებები, სპორტსმენების ჯილდოები, გაზრდილი სტიქიური მოვლენების შედეგების სალიკვიდაციო ღონისძიებების დაფინანსება, ელექტრონული არჩევნების ჩატარების ღონისძიებების დაფინანსება და სხვა. </w:t>
      </w:r>
    </w:p>
    <w:p w:rsidR="00F27947" w:rsidRDefault="00F27947" w:rsidP="00F27947">
      <w:pPr>
        <w:tabs>
          <w:tab w:val="left" w:pos="851"/>
          <w:tab w:val="left" w:pos="1134"/>
        </w:tabs>
        <w:spacing w:after="0"/>
        <w:jc w:val="both"/>
        <w:rPr>
          <w:rFonts w:ascii="Sylfaen" w:hAnsi="Sylfaen" w:cs="Sylfaen"/>
          <w:bCs/>
          <w:noProof/>
          <w:lang w:val="ka-GE"/>
        </w:rPr>
      </w:pPr>
      <w:r w:rsidRPr="00511B42">
        <w:rPr>
          <w:rFonts w:ascii="Sylfaen" w:hAnsi="Sylfaen"/>
          <w:lang w:val="ka-GE"/>
        </w:rPr>
        <w:tab/>
      </w:r>
      <w:r w:rsidRPr="00511B42">
        <w:rPr>
          <w:rFonts w:ascii="Sylfaen" w:hAnsi="Sylfaen" w:cs="Sylfaen"/>
          <w:bCs/>
          <w:noProof/>
          <w:lang w:val="ka-GE"/>
        </w:rPr>
        <w:t>აღნიშნულის გათვალისწინებით, გადაიხედა მიმდინარე და კაპიტალური ხარჯების დაგეგმილი მაჩვენებლები და განახლდა მიმდინარე წლის და შემდგომი წლების პროგნოზები. 2024 წლის და 2025-2028 წლების მოსალოდნელ პროგნოზებში გათვალისწინებულია მიმდინარე ხარჯების გაზრდა (ძირითადად განათლების და სოციალური ხარჯების ზრდის გამო).</w:t>
      </w:r>
      <w:r>
        <w:rPr>
          <w:rFonts w:ascii="Sylfaen" w:hAnsi="Sylfaen" w:cs="Sylfaen"/>
          <w:bCs/>
          <w:noProof/>
          <w:lang w:val="ka-GE"/>
        </w:rPr>
        <w:t xml:space="preserve"> წინა წლის დეკემბრის პროგნოზთან შედარებით 2024-2028 წლებში</w:t>
      </w:r>
      <w:r w:rsidRPr="00511B42">
        <w:rPr>
          <w:rFonts w:ascii="Sylfaen" w:hAnsi="Sylfaen" w:cs="Sylfaen"/>
          <w:bCs/>
          <w:noProof/>
          <w:lang w:val="ka-GE"/>
        </w:rPr>
        <w:t xml:space="preserve"> </w:t>
      </w:r>
      <w:r>
        <w:rPr>
          <w:rFonts w:ascii="Sylfaen" w:hAnsi="Sylfaen" w:cs="Sylfaen"/>
          <w:bCs/>
          <w:noProof/>
          <w:lang w:val="ka-GE"/>
        </w:rPr>
        <w:t xml:space="preserve">გაიზარდა კაპიტალური ხარჯების პროგნოზები. ამასთან, </w:t>
      </w:r>
      <w:r w:rsidRPr="00511B42">
        <w:rPr>
          <w:rFonts w:ascii="Sylfaen" w:hAnsi="Sylfaen" w:cs="Sylfaen"/>
          <w:bCs/>
          <w:noProof/>
          <w:lang w:val="ka-GE"/>
        </w:rPr>
        <w:t xml:space="preserve">ამ მიმართულებით მიმდინარეობს ინფრასტრუქტურული პროექტების საჭიროებების განხილვა და შეფასება და შედეგების გათვალისწინებით განახლდება </w:t>
      </w:r>
      <w:r>
        <w:rPr>
          <w:rFonts w:ascii="Sylfaen" w:hAnsi="Sylfaen" w:cs="Sylfaen"/>
          <w:bCs/>
          <w:noProof/>
          <w:lang w:val="ka-GE"/>
        </w:rPr>
        <w:t xml:space="preserve">2025 წლის და </w:t>
      </w:r>
      <w:r w:rsidRPr="00511B42">
        <w:rPr>
          <w:rFonts w:ascii="Sylfaen" w:hAnsi="Sylfaen" w:cs="Sylfaen"/>
          <w:bCs/>
          <w:noProof/>
          <w:lang w:val="ka-GE"/>
        </w:rPr>
        <w:t>შემდგომ</w:t>
      </w:r>
      <w:r>
        <w:rPr>
          <w:rFonts w:ascii="Sylfaen" w:hAnsi="Sylfaen" w:cs="Sylfaen"/>
          <w:bCs/>
          <w:noProof/>
          <w:lang w:val="ka-GE"/>
        </w:rPr>
        <w:t>ი</w:t>
      </w:r>
      <w:r w:rsidRPr="00511B42">
        <w:rPr>
          <w:rFonts w:ascii="Sylfaen" w:hAnsi="Sylfaen" w:cs="Sylfaen"/>
          <w:bCs/>
          <w:noProof/>
          <w:lang w:val="ka-GE"/>
        </w:rPr>
        <w:t xml:space="preserve"> საშუალოვადიან</w:t>
      </w:r>
      <w:r>
        <w:rPr>
          <w:rFonts w:ascii="Sylfaen" w:hAnsi="Sylfaen" w:cs="Sylfaen"/>
          <w:bCs/>
          <w:noProof/>
          <w:lang w:val="ka-GE"/>
        </w:rPr>
        <w:t>ი</w:t>
      </w:r>
      <w:r w:rsidRPr="00511B42">
        <w:rPr>
          <w:rFonts w:ascii="Sylfaen" w:hAnsi="Sylfaen" w:cs="Sylfaen"/>
          <w:bCs/>
          <w:noProof/>
          <w:lang w:val="ka-GE"/>
        </w:rPr>
        <w:t xml:space="preserve"> </w:t>
      </w:r>
      <w:r>
        <w:rPr>
          <w:rFonts w:ascii="Sylfaen" w:hAnsi="Sylfaen" w:cs="Sylfaen"/>
          <w:bCs/>
          <w:noProof/>
          <w:lang w:val="ka-GE"/>
        </w:rPr>
        <w:t>პერიოდ</w:t>
      </w:r>
      <w:r w:rsidRPr="00511B42">
        <w:rPr>
          <w:rFonts w:ascii="Sylfaen" w:hAnsi="Sylfaen" w:cs="Sylfaen"/>
          <w:bCs/>
          <w:noProof/>
          <w:lang w:val="ka-GE"/>
        </w:rPr>
        <w:t>ი</w:t>
      </w:r>
      <w:r>
        <w:rPr>
          <w:rFonts w:ascii="Sylfaen" w:hAnsi="Sylfaen" w:cs="Sylfaen"/>
          <w:bCs/>
          <w:noProof/>
          <w:lang w:val="ka-GE"/>
        </w:rPr>
        <w:t>ს პროგნოზები.</w:t>
      </w:r>
    </w:p>
    <w:p w:rsidR="00F27947" w:rsidRPr="00E638C3" w:rsidRDefault="00F27947" w:rsidP="00F27947">
      <w:pPr>
        <w:tabs>
          <w:tab w:val="left" w:pos="851"/>
          <w:tab w:val="left" w:pos="1134"/>
        </w:tabs>
        <w:jc w:val="both"/>
        <w:rPr>
          <w:rFonts w:ascii="Sylfaen" w:hAnsi="Sylfaen" w:cs="Sylfaen"/>
          <w:bCs/>
          <w:noProof/>
          <w:lang w:val="ka-GE"/>
        </w:rPr>
      </w:pPr>
      <w:r>
        <w:rPr>
          <w:rFonts w:ascii="Sylfaen" w:hAnsi="Sylfaen" w:cs="Sylfaen"/>
          <w:bCs/>
          <w:noProof/>
          <w:lang w:val="ka-GE"/>
        </w:rPr>
        <w:tab/>
      </w:r>
      <w:r w:rsidRPr="00511B42">
        <w:rPr>
          <w:rFonts w:ascii="Sylfaen" w:hAnsi="Sylfaen" w:cs="Sylfaen"/>
          <w:bCs/>
          <w:noProof/>
          <w:lang w:val="ka-GE"/>
        </w:rPr>
        <w:t xml:space="preserve">ნაერთი ბიუჯეტის დეფიციტმა 2024 წელს შეადგინა 2.5%, 2025 წელს 2,5%, ხოლო საშუალოვადიან პერიოდში კი შენარჩუნებულია 2,3%-ის ფარგლებში. </w:t>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511B42">
        <w:rPr>
          <w:rFonts w:ascii="Sylfaen" w:hAnsi="Sylfaen" w:cs="Sylfaen"/>
          <w:bCs/>
          <w:noProof/>
          <w:sz w:val="22"/>
          <w:szCs w:val="22"/>
          <w:lang w:val="ka-GE"/>
        </w:rPr>
        <w:tab/>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highlight w:val="yellow"/>
          <w:lang w:val="ka-GE"/>
        </w:rPr>
      </w:pPr>
      <w:r w:rsidRPr="00511B42">
        <w:rPr>
          <w:rFonts w:ascii="Sylfaen" w:hAnsi="Sylfaen" w:cs="Sylfaen"/>
          <w:bCs/>
          <w:noProof/>
          <w:sz w:val="22"/>
          <w:szCs w:val="22"/>
          <w:lang w:val="ka-GE"/>
        </w:rPr>
        <w:tab/>
      </w:r>
      <w:r w:rsidRPr="00511B42">
        <w:rPr>
          <w:rFonts w:ascii="Sylfaen" w:hAnsi="Sylfaen" w:cs="Sylfaen"/>
          <w:b/>
          <w:lang w:val="ka-GE"/>
        </w:rPr>
        <w:t>საშუალოვადიანი პერიოდის პროგნოზები</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 xml:space="preserve">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2022-2025 წლების პროგნოზში, რომელიც მომზადდა 2021 წლის დეკემბერში,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2022 წლის  განმავლობაში, არსებული დადებითი ტენდენციებიდან გამომდინარე, განახლდა პროგნოზები და აისახა 2022 წლის სახელმწიფო ბიუჯეტის კანონში ცვლილებების დროს. 2022 წელს ნაერთი ბიუჯეტის შემოსავლები მნიშვნელოვნად 2,0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w:t>
      </w:r>
      <w:r>
        <w:rPr>
          <w:rFonts w:ascii="Sylfaen" w:hAnsi="Sylfaen" w:cs="Sylfaen"/>
          <w:lang w:val="ka-GE"/>
        </w:rPr>
        <w:t xml:space="preserve"> 19,4 მლრდ ლარამდე, რაც განახლებული</w:t>
      </w:r>
      <w:r w:rsidRPr="00511B42">
        <w:rPr>
          <w:rFonts w:ascii="Sylfaen" w:hAnsi="Sylfaen" w:cs="Sylfaen"/>
          <w:lang w:val="ka-GE"/>
        </w:rPr>
        <w:t xml:space="preserve"> მშპ-ის</w:t>
      </w:r>
      <w:r>
        <w:rPr>
          <w:rFonts w:ascii="Sylfaen" w:hAnsi="Sylfaen" w:cs="Sylfaen"/>
          <w:lang w:val="ka-GE"/>
        </w:rPr>
        <w:t xml:space="preserve"> გათვალისწინებით ასევე 26,6</w:t>
      </w:r>
      <w:r w:rsidRPr="00511B42">
        <w:rPr>
          <w:rFonts w:ascii="Sylfaen" w:hAnsi="Sylfaen" w:cs="Sylfaen"/>
          <w:lang w:val="ka-GE"/>
        </w:rPr>
        <w:t>%</w:t>
      </w:r>
      <w:r>
        <w:rPr>
          <w:rFonts w:ascii="Sylfaen" w:hAnsi="Sylfaen" w:cs="Sylfaen"/>
          <w:lang w:val="ka-GE"/>
        </w:rPr>
        <w:t>-ს შეადგენს</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2023-2026 წლების პროგნოზებში, რომელიც მომზადდა 2022 წლის ბოლოს, 2023 წლის ნაერთი ბიუჯეტის შემოსავლებ</w:t>
      </w:r>
      <w:r>
        <w:rPr>
          <w:rFonts w:ascii="Sylfaen" w:hAnsi="Sylfaen" w:cs="Sylfaen"/>
          <w:lang w:val="ka-GE"/>
        </w:rPr>
        <w:t>ი დაიგეგმა 20,8 მლრდ ლარის ოდენობით, რამაც</w:t>
      </w:r>
      <w:r w:rsidRPr="00511B42">
        <w:rPr>
          <w:rFonts w:ascii="Sylfaen" w:hAnsi="Sylfaen" w:cs="Sylfaen"/>
          <w:lang w:val="ka-GE"/>
        </w:rPr>
        <w:t xml:space="preserve"> მშპ-სთან მიმართებაში 26.1% შეადგინა. შემოსავლების პროგნოზები კვლავ კონსერვატიული მიდგომით დაიგეგმა, თუმცა 2023 წლის  განმავლობაში, არსებული დადებითი ტენდენციებიდან გამომდინარე, განახლდა პროგნოზები და აისახა 2023 წლის სახელმწიფო ბიუჯეტის კანონში ცვლილებების დროს. 2023 წელს ნაერთი ბიუჯეტის </w:t>
      </w:r>
      <w:r w:rsidRPr="00511B42">
        <w:rPr>
          <w:rFonts w:ascii="Sylfaen" w:hAnsi="Sylfaen" w:cs="Sylfaen"/>
          <w:lang w:val="ka-GE"/>
        </w:rPr>
        <w:lastRenderedPageBreak/>
        <w:t>შემოსავლები 835.0 მლნ  ლარით გაიზარდა დაგეგმილ მაჩვენებელთან შედარებით და შეადგინა 21,6 მლრდ ლარი, რაც მშპ-ის 27,3%-ია, ხოლო ფაქტიურმა მაჩვენებელმა შეადგინა</w:t>
      </w:r>
      <w:r>
        <w:rPr>
          <w:rFonts w:ascii="Sylfaen" w:hAnsi="Sylfaen" w:cs="Sylfaen"/>
          <w:lang w:val="ka-GE"/>
        </w:rPr>
        <w:t xml:space="preserve"> 22,1 მლრდ ლარი, რაც</w:t>
      </w:r>
      <w:r w:rsidRPr="00511B42">
        <w:rPr>
          <w:rFonts w:ascii="Sylfaen" w:hAnsi="Sylfaen" w:cs="Sylfaen"/>
          <w:lang w:val="ka-GE"/>
        </w:rPr>
        <w:t xml:space="preserve"> მშპ-ის 27,6%</w:t>
      </w:r>
      <w:r>
        <w:rPr>
          <w:rFonts w:ascii="Sylfaen" w:hAnsi="Sylfaen" w:cs="Sylfaen"/>
          <w:lang w:val="ka-GE"/>
        </w:rPr>
        <w:t>-ია</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bCs/>
          <w:noProof/>
          <w:lang w:val="ka-GE"/>
        </w:rPr>
        <w:t xml:space="preserve">2024-2027 წლების </w:t>
      </w:r>
      <w:r w:rsidRPr="00511B42">
        <w:rPr>
          <w:rFonts w:ascii="Sylfaen" w:hAnsi="Sylfaen" w:cs="Sylfaen"/>
          <w:lang w:val="ka-GE"/>
        </w:rPr>
        <w:t>პროგნოზები, რომელიც მომზადდა 2023 წლის ბოლოს, 2024 წლის ნაერთი ბიუჯეტის შემოსავლე</w:t>
      </w:r>
      <w:r>
        <w:rPr>
          <w:rFonts w:ascii="Sylfaen" w:hAnsi="Sylfaen" w:cs="Sylfaen"/>
          <w:lang w:val="ka-GE"/>
        </w:rPr>
        <w:t xml:space="preserve">ბი დაიგეგმა 24,4 მლრდ ლარის ოდენობით, რამაც </w:t>
      </w:r>
      <w:r w:rsidRPr="00511B42">
        <w:rPr>
          <w:rFonts w:ascii="Sylfaen" w:hAnsi="Sylfaen" w:cs="Sylfaen"/>
          <w:lang w:val="ka-GE"/>
        </w:rPr>
        <w:t xml:space="preserve">მშპ-სთან მიმართებაში 28.4% შეადგინა. 2024 წლის განმავლობაში განახლებული პროგნოზებით ნაერთი ბიუჯეტის შემოსავლები, 2023 წლის დეკემბრის პროგნოზთან შედარებით, ჯამში 837.0 მლნ ლარით არის გაზრდილი და 25,2 მლრდ ლარზე მეტს შეადგენს, რაც მშპ-ის 28,2%-ია. ამასთან, საშუალოვადიან </w:t>
      </w:r>
      <w:r w:rsidRPr="00511B42">
        <w:rPr>
          <w:rFonts w:ascii="Sylfaen" w:hAnsi="Sylfaen" w:cs="Sylfaen"/>
          <w:bCs/>
          <w:noProof/>
          <w:lang w:val="ka-GE"/>
        </w:rPr>
        <w:t>2025-2028 წლებში ნაერთი ბიუჯეტის</w:t>
      </w:r>
      <w:r w:rsidRPr="00511B42">
        <w:rPr>
          <w:rFonts w:ascii="Sylfaen" w:hAnsi="Sylfaen" w:cs="Sylfaen"/>
          <w:lang w:val="ka-GE"/>
        </w:rPr>
        <w:t xml:space="preserve"> შემოსავლები მშპ-ის 27,2%-ის ფარგლებშია პროგნოზირებული. </w:t>
      </w: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შემოსულობების პროგნოზების შედარება და მშპ-სთან პროცენტული ცვლილებები მოცემულია №6 ცხრილში: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№6 - შემოსულობების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8"/>
          <w:szCs w:val="22"/>
          <w:lang w:val="ka-GE"/>
        </w:rPr>
      </w:pPr>
      <w:r w:rsidRPr="00511B42">
        <w:rPr>
          <w:rFonts w:ascii="Sylfaen" w:hAnsi="Sylfaen" w:cs="Sylfaen"/>
          <w:b/>
          <w:bCs/>
          <w:noProof/>
          <w:sz w:val="18"/>
          <w:szCs w:val="22"/>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F27947" w:rsidRPr="00511B42" w:rsidTr="009821BC">
        <w:trPr>
          <w:trHeight w:val="255"/>
          <w:tblHeader/>
        </w:trPr>
        <w:tc>
          <w:tcPr>
            <w:tcW w:w="1506"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დასახელება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2024</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2025</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2026</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2027</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2028</w:t>
            </w:r>
          </w:p>
        </w:tc>
      </w:tr>
      <w:tr w:rsidR="00F27947" w:rsidRPr="00511B42" w:rsidTr="009821BC">
        <w:trPr>
          <w:trHeight w:val="255"/>
          <w:tblHeader/>
        </w:trPr>
        <w:tc>
          <w:tcPr>
            <w:tcW w:w="1506" w:type="pct"/>
            <w:vMerge/>
            <w:tcBorders>
              <w:top w:val="single" w:sz="4" w:space="0" w:color="B4C6E7"/>
              <w:left w:val="single" w:sz="4" w:space="0" w:color="B4C6E7"/>
              <w:bottom w:val="single" w:sz="4" w:space="0" w:color="B4C6E7"/>
              <w:right w:val="single" w:sz="4" w:space="0" w:color="B4C6E7"/>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r>
      <w:tr w:rsidR="00F27947" w:rsidRPr="00511B42" w:rsidTr="009821BC">
        <w:trPr>
          <w:trHeight w:val="30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Calibri"/>
                <w:sz w:val="16"/>
                <w:lang w:val="en-GB" w:eastAsia="en-GB"/>
              </w:rPr>
            </w:pPr>
            <w:r w:rsidRPr="00511B42">
              <w:rPr>
                <w:rFonts w:ascii="Sylfaen" w:eastAsia="Times New Roman" w:hAnsi="Sylfaen" w:cs="Calibri"/>
                <w:sz w:val="16"/>
                <w:lang w:val="en-GB" w:eastAsia="en-GB"/>
              </w:rPr>
              <w:t> </w:t>
            </w:r>
          </w:p>
        </w:tc>
      </w:tr>
      <w:tr w:rsidR="00F27947" w:rsidRPr="00511B42" w:rsidTr="009821BC">
        <w:trPr>
          <w:trHeight w:val="28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17 205.0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18 228.0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19 732.0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21 266.0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19 217.0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20 805.0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22 076.0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23 794.0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25 704.0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2 012.0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2 577.0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2 344.0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2 528.0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21 640.0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24 398.0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26 124.0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27 788.0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29 868.0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24 850.0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28 350.0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30 550.0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32 950.0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562.0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682.0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სექტემბერი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25 235.0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26 730.0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28 760.0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30 930.0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33 380.0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837.0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606.0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972.0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1 062.0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430.0</w:t>
            </w:r>
          </w:p>
        </w:tc>
      </w:tr>
      <w:tr w:rsidR="00F27947" w:rsidRPr="00511B42" w:rsidTr="009821BC">
        <w:trPr>
          <w:trHeight w:val="33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არაფინანსური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7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r>
      <w:tr w:rsidR="00F27947" w:rsidRPr="00511B42" w:rsidTr="009821BC">
        <w:trPr>
          <w:trHeight w:val="31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3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130.0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lastRenderedPageBreak/>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120.0</w:t>
            </w:r>
          </w:p>
        </w:tc>
      </w:tr>
      <w:tr w:rsidR="00F27947" w:rsidRPr="00511B42" w:rsidTr="009821BC">
        <w:trPr>
          <w:trHeight w:val="300"/>
        </w:trPr>
        <w:tc>
          <w:tcPr>
            <w:tcW w:w="5000" w:type="pct"/>
            <w:gridSpan w:val="8"/>
            <w:tcBorders>
              <w:top w:val="single" w:sz="4" w:space="0" w:color="B4C6E7"/>
              <w:left w:val="single" w:sz="4" w:space="0" w:color="B4C6E7"/>
              <w:bottom w:val="single" w:sz="4" w:space="0" w:color="B4C6E7"/>
              <w:right w:val="nil"/>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lang w:val="en-GB" w:eastAsia="en-GB"/>
              </w:rPr>
            </w:pPr>
            <w:r w:rsidRPr="00511B42">
              <w:rPr>
                <w:rFonts w:ascii="Sylfaen" w:eastAsia="Times New Roman" w:hAnsi="Sylfaen" w:cs="Arial"/>
                <w:b/>
                <w:bCs/>
                <w:sz w:val="16"/>
                <w:lang w:val="en-GB" w:eastAsia="en-GB"/>
              </w:rPr>
              <w:t>% მშპ-თან</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0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25.7%</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25.4%</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8"/>
                <w:lang w:val="en-GB" w:eastAsia="en-GB"/>
              </w:rPr>
            </w:pPr>
            <w:r w:rsidRPr="00511B42">
              <w:rPr>
                <w:rFonts w:ascii="Sylfaen" w:eastAsia="Times New Roman" w:hAnsi="Sylfaen" w:cs="Arial"/>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27.5%</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27.3%</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28.2%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27.0%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არაფინანსური აქტივების 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ფინანსური აქტივების კლება</w:t>
            </w:r>
          </w:p>
        </w:tc>
        <w:tc>
          <w:tcPr>
            <w:tcW w:w="2496"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0.1%</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0.2%</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Default="00F27947" w:rsidP="00F27947">
      <w:pPr>
        <w:pStyle w:val="NormalWeb"/>
        <w:spacing w:line="276" w:lineRule="auto"/>
        <w:ind w:firstLine="720"/>
        <w:jc w:val="both"/>
        <w:rPr>
          <w:rFonts w:ascii="Sylfaen" w:hAnsi="Sylfaen" w:cs="Sylfaen"/>
          <w:sz w:val="22"/>
          <w:szCs w:val="22"/>
          <w:lang w:val="ka-GE" w:eastAsia="en-US"/>
        </w:rPr>
      </w:pPr>
      <w:r w:rsidRPr="00511B42">
        <w:rPr>
          <w:rFonts w:ascii="Sylfaen" w:hAnsi="Sylfaen" w:cs="Sylfaen"/>
          <w:sz w:val="22"/>
          <w:szCs w:val="22"/>
          <w:lang w:val="ka-GE" w:eastAsia="en-US"/>
        </w:rPr>
        <w:t>მიმდინარე წელს საგარეო ვალის ნაწილში ვალდებულებების ზრდის მაჩვენებელი მიმდინარე და შემდგომ საშუალოვადიან პერიოდში შენარჩუნებულია მშპ-სთან თითქმის იგივე პროცენტულ მაჩვენებელზე. ასევე აღსანიშნავია, რომ საგარეო ვალის აღებაში 2026 წლის პროგნოზი ითვალისწინებს საქართველოს ფინანსთა სამინისტროს მიერ საქართველოს სახელით გამოშვებული, 2026 წელს დასაფარი ევროობლიგაციის რეფინანსირებას. ამასთან, გასათვალისწინებელია, რომ ევროობლიგაციის რეფინანსირება წარმოადგენს საბაზისო დაშვებას და გადაწყვეტილება რეფინანსირების შესახებ მათ შორის ინსტრუმენტის ტიპის, მოცულობის და სხვა სპეციფიკაციების შესახებ განხილვის საგანია და აღნიშნული გადაწყვეტილება მიღებული იქნება 2025 წელს.</w:t>
      </w:r>
    </w:p>
    <w:p w:rsidR="00F27947" w:rsidRDefault="00F27947" w:rsidP="00F27947">
      <w:pPr>
        <w:pStyle w:val="NormalWeb"/>
        <w:spacing w:line="276" w:lineRule="auto"/>
        <w:ind w:firstLine="720"/>
        <w:jc w:val="both"/>
        <w:rPr>
          <w:rFonts w:ascii="Sylfaen" w:hAnsi="Sylfaen" w:cs="Sylfaen"/>
          <w:sz w:val="22"/>
          <w:szCs w:val="22"/>
          <w:lang w:val="ka-GE" w:eastAsia="en-US"/>
        </w:rPr>
      </w:pPr>
      <w:r w:rsidRPr="00511B42">
        <w:rPr>
          <w:rFonts w:ascii="Sylfaen" w:hAnsi="Sylfaen" w:cs="Sylfaen"/>
          <w:sz w:val="22"/>
          <w:szCs w:val="22"/>
          <w:lang w:val="ka-GE" w:eastAsia="en-US"/>
        </w:rPr>
        <w:t xml:space="preserve">განახლებული პროგნოზებით, 2024 წელს ვალდებულებების ზრდა გათვალისწინებულია მშპ-ის 3,8%-ის ფარგლებში. 2025 წელს ვალდებულებების ზრდის სახით მისაღები სახსრები განისაზღვრა </w:t>
      </w:r>
      <w:r w:rsidRPr="00511B42">
        <w:rPr>
          <w:rFonts w:ascii="Sylfaen" w:hAnsi="Sylfaen" w:cs="Sylfaen"/>
          <w:sz w:val="22"/>
          <w:szCs w:val="22"/>
          <w:lang w:val="ka-GE" w:eastAsia="en-US"/>
        </w:rPr>
        <w:lastRenderedPageBreak/>
        <w:t xml:space="preserve">3 585,2 მლნ ლარის ოდენობით, რაც მშპ-ს 3,9%-ია. მათ შორის, საშინაო ფასიანი ქაღალდების გამოშვებით მისაღები სახსრები შეადგენს 1 600.0 მლნ ლარს, საინვესტიციო კრედიტების მაჩვენებელი შეადგენს 1 385,2 მლნ ლარს, ხოლო საბიუჯეტო დახმარების სახით მისაღები კრედიტების მაჩვენებელი შეადგენს 600,0 მლნ ლარს. </w:t>
      </w:r>
    </w:p>
    <w:p w:rsidR="00F27947" w:rsidRPr="00511B42" w:rsidRDefault="00F27947" w:rsidP="00F27947">
      <w:pPr>
        <w:pStyle w:val="NormalWeb"/>
        <w:ind w:firstLine="720"/>
        <w:jc w:val="both"/>
        <w:rPr>
          <w:rFonts w:ascii="Sylfaen" w:hAnsi="Sylfaen" w:cs="Sylfaen"/>
          <w:sz w:val="22"/>
          <w:lang w:val="ka-GE"/>
        </w:rPr>
      </w:pPr>
      <w:r w:rsidRPr="00511B42">
        <w:rPr>
          <w:rFonts w:ascii="Sylfaen" w:hAnsi="Sylfaen" w:cs="Sylfaen"/>
          <w:sz w:val="22"/>
          <w:lang w:val="ka-GE"/>
        </w:rPr>
        <w:t>საშუალოვადიან პერიოდში ვალდებულებების ზრდა მშპ-სთან მიმართებაში საშუალოდ  3,9%-ის ფარგლებშია.</w:t>
      </w:r>
    </w:p>
    <w:p w:rsidR="00F27947" w:rsidRDefault="00F27947" w:rsidP="00F27947">
      <w:pPr>
        <w:spacing w:line="276" w:lineRule="auto"/>
        <w:ind w:firstLine="720"/>
        <w:jc w:val="both"/>
        <w:rPr>
          <w:rFonts w:ascii="Sylfaen" w:hAnsi="Sylfaen"/>
          <w:lang w:val="ka-GE"/>
        </w:rPr>
      </w:pPr>
      <w:r w:rsidRPr="00511B42">
        <w:rPr>
          <w:rFonts w:ascii="Sylfaen" w:hAnsi="Sylfaen"/>
          <w:lang w:val="ka-GE"/>
        </w:rPr>
        <w:t>ქვემოთ მოცემულ ცხრილში (ცხრილი №7) წარმოდგენილია ვალდებულებების ზრდის პროგნოზები 202</w:t>
      </w:r>
      <w:r w:rsidRPr="00511B42">
        <w:rPr>
          <w:rFonts w:ascii="Sylfaen" w:hAnsi="Sylfaen"/>
        </w:rPr>
        <w:t>4</w:t>
      </w:r>
      <w:r w:rsidRPr="00511B42">
        <w:rPr>
          <w:rFonts w:ascii="Sylfaen" w:hAnsi="Sylfaen"/>
          <w:lang w:val="ka-GE"/>
        </w:rPr>
        <w:t>-2028 წლებისთვის:</w:t>
      </w:r>
    </w:p>
    <w:p w:rsidR="00F27947" w:rsidRPr="00511B42" w:rsidRDefault="00F27947" w:rsidP="00F27947">
      <w:pPr>
        <w:spacing w:line="276" w:lineRule="auto"/>
        <w:ind w:firstLine="720"/>
        <w:jc w:val="both"/>
        <w:rPr>
          <w:rFonts w:ascii="Sylfaen" w:hAnsi="Sylfaen" w:cs="Sylfaen"/>
          <w:b/>
          <w:bCs/>
          <w:noProof/>
          <w:sz w:val="20"/>
          <w:lang w:val="ka-GE"/>
        </w:rPr>
      </w:pPr>
      <w:r w:rsidRPr="00511B42">
        <w:rPr>
          <w:rFonts w:ascii="Sylfaen" w:hAnsi="Sylfaen" w:cs="Sylfaen"/>
          <w:b/>
          <w:bCs/>
          <w:noProof/>
          <w:sz w:val="20"/>
          <w:lang w:val="ka-GE"/>
        </w:rPr>
        <w:t>ცხრილი №7 - ვალდებულებების ზრდის პროგნოზები</w:t>
      </w:r>
    </w:p>
    <w:p w:rsidR="00F27947" w:rsidRPr="00511B42" w:rsidRDefault="00F27947" w:rsidP="00F27947">
      <w:pPr>
        <w:spacing w:after="0" w:line="276" w:lineRule="auto"/>
        <w:jc w:val="right"/>
        <w:rPr>
          <w:rFonts w:ascii="Sylfaen" w:hAnsi="Sylfaen"/>
          <w:b/>
          <w:i/>
          <w:sz w:val="16"/>
          <w:u w:val="single"/>
          <w:lang w:val="ka-GE"/>
        </w:rPr>
      </w:pPr>
      <w:r w:rsidRPr="00511B42">
        <w:rPr>
          <w:rFonts w:ascii="Sylfaen" w:hAnsi="Sylfaen"/>
          <w:b/>
          <w:i/>
          <w:sz w:val="16"/>
          <w:u w:val="single"/>
        </w:rPr>
        <w:t>(</w:t>
      </w:r>
      <w:r w:rsidRPr="00511B42">
        <w:rPr>
          <w:rFonts w:ascii="Sylfaen" w:hAnsi="Sylfaen"/>
          <w:b/>
          <w:i/>
          <w:sz w:val="16"/>
          <w:u w:val="single"/>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F27947" w:rsidRPr="00511B42" w:rsidTr="009821BC">
        <w:trPr>
          <w:trHeight w:val="255"/>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2028</w:t>
            </w:r>
          </w:p>
        </w:tc>
      </w:tr>
      <w:tr w:rsidR="00F27947" w:rsidRPr="00511B42" w:rsidTr="009821BC">
        <w:trPr>
          <w:trHeight w:val="255"/>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Sylfaen"/>
                <w:b/>
                <w:bCs/>
                <w:sz w:val="16"/>
                <w:szCs w:val="18"/>
                <w:lang w:val="en-GB" w:eastAsia="en-GB"/>
              </w:rPr>
              <w:t>პროგნოზი</w:t>
            </w:r>
          </w:p>
        </w:tc>
      </w:tr>
      <w:tr w:rsidR="00F27947" w:rsidRPr="00511B42" w:rsidTr="009821BC">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ვალდებულებების ზრდა</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60"/>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4 337.0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3 582.0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3 584.0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3 560.0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5 020.0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99.0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175.0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3 259.0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4 985.0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3 835.0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3 447.1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3 220.0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3 615.0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4 970.0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3 815.0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4 010.0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237.1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8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3 733.9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3 468.9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3 585.2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5 150.0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4 000.0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4 200.0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258.9</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165.0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165.0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21.8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-29.8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190.0</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მ.შ. 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1 285.0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1 240.0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1 560.0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1 525.0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1 685.0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1 437.7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1 570.0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1 665.0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1 760.0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107.7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1 348.3</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1 459.4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1 500.0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1 600.0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1 700.0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1 900.0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115.0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21.7</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85.0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135.0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140.0</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მ.შ. 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3 052.0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2 342.0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2 244.0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8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-710.0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144.0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1 880.0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2 150.0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2 250.0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1 940.0</w:t>
            </w:r>
          </w:p>
        </w:tc>
        <w:tc>
          <w:tcPr>
            <w:tcW w:w="499"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iCs/>
                <w:sz w:val="16"/>
                <w:szCs w:val="18"/>
                <w:lang w:val="en-GB" w:eastAsia="en-GB"/>
              </w:rPr>
            </w:pPr>
            <w:r w:rsidRPr="00511B42">
              <w:rPr>
                <w:rFonts w:ascii="Sylfaen" w:eastAsia="Times New Roman" w:hAnsi="Sylfaen" w:cs="Arial"/>
                <w:b/>
                <w:bCs/>
                <w:iCs/>
                <w:sz w:val="16"/>
                <w:szCs w:val="18"/>
                <w:lang w:val="en-GB" w:eastAsia="en-GB"/>
              </w:rPr>
              <w:t>1 985.2</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3 450.0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2 200.0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2 300.0</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101.0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-114.8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140.0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-114.8</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50.0</w:t>
            </w:r>
          </w:p>
        </w:tc>
      </w:tr>
      <w:tr w:rsidR="00F27947" w:rsidRPr="00511B42" w:rsidTr="009821BC">
        <w:trPr>
          <w:trHeight w:val="330"/>
        </w:trPr>
        <w:tc>
          <w:tcPr>
            <w:tcW w:w="5000" w:type="pct"/>
            <w:gridSpan w:val="8"/>
            <w:tcBorders>
              <w:top w:val="single" w:sz="4" w:space="0" w:color="B4C6E7"/>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მშპ-თან</w:t>
            </w:r>
          </w:p>
        </w:tc>
      </w:tr>
      <w:tr w:rsidR="00F27947" w:rsidRPr="00511B42" w:rsidTr="009821BC">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20"/>
                <w:lang w:val="en-GB" w:eastAsia="en-GB"/>
              </w:rPr>
            </w:pPr>
            <w:r w:rsidRPr="00511B42">
              <w:rPr>
                <w:rFonts w:ascii="Sylfaen" w:eastAsia="Times New Roman" w:hAnsi="Sylfaen" w:cs="Arial"/>
                <w:b/>
                <w:bCs/>
                <w:sz w:val="16"/>
                <w:szCs w:val="20"/>
                <w:lang w:val="en-GB" w:eastAsia="en-GB"/>
              </w:rPr>
              <w:t>ვალდებულებების ზრდა</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4.2%</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lastRenderedPageBreak/>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3.5%</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5.1%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5.1%</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3.8%</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4.9%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3.4%</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მ.შ. 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r>
      <w:tr w:rsidR="00F27947" w:rsidRPr="00511B42" w:rsidTr="009821BC">
        <w:trPr>
          <w:trHeight w:val="31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00"/>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1.5%</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1.8%</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1.5%</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r>
      <w:tr w:rsidR="00F27947" w:rsidRPr="00511B42" w:rsidTr="009821BC">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ind w:firstLineChars="300" w:firstLine="482"/>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მ.შ. 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outlineLvl w:val="0"/>
              <w:rPr>
                <w:rFonts w:ascii="Sylfaen" w:eastAsia="Times New Roman" w:hAnsi="Sylfaen" w:cs="Arial"/>
                <w:b/>
                <w:bCs/>
                <w:i/>
                <w:iCs/>
                <w:sz w:val="16"/>
                <w:szCs w:val="20"/>
                <w:lang w:val="en-GB" w:eastAsia="en-GB"/>
              </w:rPr>
            </w:pPr>
            <w:r w:rsidRPr="00511B42">
              <w:rPr>
                <w:rFonts w:ascii="Sylfaen" w:eastAsia="Times New Roman" w:hAnsi="Sylfaen" w:cs="Arial"/>
                <w:b/>
                <w:bCs/>
                <w:i/>
                <w:iCs/>
                <w:sz w:val="16"/>
                <w:szCs w:val="20"/>
                <w:lang w:val="en-GB" w:eastAsia="en-GB"/>
              </w:rPr>
              <w:t> </w:t>
            </w:r>
          </w:p>
        </w:tc>
      </w:tr>
      <w:tr w:rsidR="00F27947" w:rsidRPr="00511B42" w:rsidTr="009821BC">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2022-2025 (2021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4.7%</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3.0%</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2.6%</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2023-2026 (2022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2.8%</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31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2024-2027 (2023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დეკემბერი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2.0%</w:t>
            </w:r>
          </w:p>
        </w:tc>
        <w:tc>
          <w:tcPr>
            <w:tcW w:w="499"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8"/>
                <w:lang w:val="en-GB" w:eastAsia="en-GB"/>
              </w:rPr>
            </w:pPr>
            <w:r w:rsidRPr="00511B42">
              <w:rPr>
                <w:rFonts w:ascii="Sylfaen" w:eastAsia="Times New Roman" w:hAnsi="Sylfaen" w:cs="Arial"/>
                <w:i/>
                <w:iCs/>
                <w:sz w:val="16"/>
                <w:szCs w:val="18"/>
                <w:lang w:val="en-GB" w:eastAsia="en-GB"/>
              </w:rPr>
              <w:t> </w:t>
            </w:r>
          </w:p>
        </w:tc>
      </w:tr>
      <w:tr w:rsidR="00F27947" w:rsidRPr="00511B42" w:rsidTr="009821BC">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xml:space="preserve">2025-2028 (2024 </w:t>
            </w:r>
            <w:r w:rsidRPr="00511B42">
              <w:rPr>
                <w:rFonts w:ascii="Sylfaen" w:eastAsia="Times New Roman" w:hAnsi="Sylfaen" w:cs="Sylfaen"/>
                <w:sz w:val="16"/>
                <w:szCs w:val="18"/>
                <w:lang w:val="en-GB" w:eastAsia="en-GB"/>
              </w:rPr>
              <w:t>წლის</w:t>
            </w:r>
            <w:r w:rsidRPr="00511B42">
              <w:rPr>
                <w:rFonts w:ascii="Sylfaen" w:eastAsia="Times New Roman" w:hAnsi="Sylfaen" w:cs="Arial"/>
                <w:sz w:val="16"/>
                <w:szCs w:val="18"/>
                <w:lang w:val="en-GB" w:eastAsia="en-GB"/>
              </w:rPr>
              <w:t xml:space="preserve"> </w:t>
            </w:r>
            <w:r w:rsidRPr="00511B42">
              <w:rPr>
                <w:rFonts w:ascii="Sylfaen" w:eastAsia="Times New Roman" w:hAnsi="Sylfaen" w:cs="Sylfaen"/>
                <w:sz w:val="16"/>
                <w:szCs w:val="18"/>
                <w:lang w:val="en-GB" w:eastAsia="en-GB"/>
              </w:rPr>
              <w:t>ივლისი</w:t>
            </w:r>
            <w:r w:rsidRPr="00511B42">
              <w:rPr>
                <w:rFonts w:ascii="Sylfaen" w:eastAsia="Times New Roman" w:hAnsi="Sylfaen"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2.5%</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1.9%</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 xml:space="preserve">2025-2028 (2024 </w:t>
            </w:r>
            <w:r w:rsidRPr="00511B42">
              <w:rPr>
                <w:rFonts w:ascii="Sylfaen" w:eastAsia="Times New Roman" w:hAnsi="Sylfaen" w:cs="Sylfaen"/>
                <w:b/>
                <w:bCs/>
                <w:sz w:val="16"/>
                <w:szCs w:val="18"/>
                <w:lang w:val="en-GB" w:eastAsia="en-GB"/>
              </w:rPr>
              <w:t>წლის</w:t>
            </w:r>
            <w:r w:rsidRPr="00511B42">
              <w:rPr>
                <w:rFonts w:ascii="Sylfaen" w:eastAsia="Times New Roman" w:hAnsi="Sylfaen" w:cs="Arial"/>
                <w:b/>
                <w:bCs/>
                <w:sz w:val="16"/>
                <w:szCs w:val="18"/>
                <w:lang w:val="en-GB" w:eastAsia="en-GB"/>
              </w:rPr>
              <w:t xml:space="preserve"> </w:t>
            </w:r>
            <w:r w:rsidRPr="00511B42">
              <w:rPr>
                <w:rFonts w:ascii="Sylfaen" w:eastAsia="Times New Roman" w:hAnsi="Sylfaen" w:cs="Sylfaen"/>
                <w:b/>
                <w:bCs/>
                <w:sz w:val="16"/>
                <w:szCs w:val="18"/>
                <w:lang w:val="en-GB" w:eastAsia="en-GB"/>
              </w:rPr>
              <w:t>სექტემბერი</w:t>
            </w:r>
            <w:r w:rsidRPr="00511B42">
              <w:rPr>
                <w:rFonts w:ascii="Sylfaen" w:eastAsia="Times New Roman" w:hAnsi="Sylfaen" w:cs="Arial"/>
                <w:b/>
                <w:bCs/>
                <w:sz w:val="16"/>
                <w:szCs w:val="18"/>
                <w:lang w:val="en-GB" w:eastAsia="en-GB"/>
              </w:rPr>
              <w:t>)</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2.0%</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3.3%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8"/>
                <w:lang w:val="en-GB" w:eastAsia="en-GB"/>
              </w:rPr>
            </w:pPr>
            <w:r w:rsidRPr="00511B42">
              <w:rPr>
                <w:rFonts w:ascii="Sylfaen" w:eastAsia="Times New Roman" w:hAnsi="Sylfaen" w:cs="Arial"/>
                <w:b/>
                <w:bCs/>
                <w:sz w:val="16"/>
                <w:szCs w:val="18"/>
                <w:lang w:val="en-GB" w:eastAsia="en-GB"/>
              </w:rPr>
              <w:t>1.9%</w:t>
            </w:r>
          </w:p>
        </w:tc>
      </w:tr>
      <w:tr w:rsidR="00F27947" w:rsidRPr="00511B42" w:rsidTr="009821BC">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8"/>
                <w:lang w:val="en-GB" w:eastAsia="en-GB"/>
              </w:rPr>
            </w:pPr>
            <w:r w:rsidRPr="00511B42">
              <w:rPr>
                <w:rFonts w:ascii="Sylfaen" w:eastAsia="Times New Roman" w:hAnsi="Sylfaen" w:cs="Arial"/>
                <w:sz w:val="16"/>
                <w:szCs w:val="18"/>
                <w:lang w:val="en-GB" w:eastAsia="en-GB"/>
              </w:rPr>
              <w:t> </w:t>
            </w:r>
          </w:p>
        </w:tc>
      </w:tr>
      <w:tr w:rsidR="00F27947" w:rsidRPr="00511B42" w:rsidTr="009821BC">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8"/>
                <w:lang w:val="en-GB" w:eastAsia="en-GB"/>
              </w:rPr>
            </w:pPr>
            <w:r w:rsidRPr="00511B42">
              <w:rPr>
                <w:rFonts w:ascii="Sylfaen" w:eastAsia="Times New Roman" w:hAnsi="Sylfaen" w:cs="Arial"/>
                <w:i/>
                <w:iCs/>
                <w:color w:val="C65911"/>
                <w:sz w:val="16"/>
                <w:szCs w:val="18"/>
                <w:lang w:val="en-GB" w:eastAsia="en-GB"/>
              </w:rPr>
              <w:t>0.0%</w:t>
            </w:r>
          </w:p>
        </w:tc>
      </w:tr>
    </w:tbl>
    <w:p w:rsidR="00F27947" w:rsidRPr="00511B42" w:rsidRDefault="00F27947" w:rsidP="00F27947">
      <w:pPr>
        <w:spacing w:after="0" w:line="276" w:lineRule="auto"/>
        <w:rPr>
          <w:rFonts w:ascii="Sylfaen" w:hAnsi="Sylfaen"/>
          <w:b/>
          <w:i/>
          <w:sz w:val="18"/>
          <w:u w:val="single"/>
          <w:lang w:val="ka-GE"/>
        </w:rPr>
      </w:pPr>
    </w:p>
    <w:p w:rsidR="00F27947" w:rsidRPr="00511B42" w:rsidRDefault="00F27947" w:rsidP="00F27947">
      <w:pPr>
        <w:spacing w:after="0" w:line="276" w:lineRule="auto"/>
        <w:jc w:val="right"/>
        <w:rPr>
          <w:rFonts w:ascii="Sylfaen" w:hAnsi="Sylfaen"/>
          <w:b/>
          <w:i/>
          <w:sz w:val="18"/>
          <w:u w:val="single"/>
          <w:lang w:val="ka-GE"/>
        </w:rPr>
      </w:pP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2020-2021 წლებში პანდემიის გამო გაზრდილი მიმდინარე ხარჯები 2022 წელს მნიშვნელოვნად შემცირდა. 2022 წელს მიმდინარე ხარჯების ფაქტიური მოცულობამ ჯამში შეადგინა 15,6 მლრდ ლარი, რაც მშპ-ს 21,4%-ს შეადგინა.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2023 წლის ნაერთი ბიუჯეტის მიმდინარე ხარჯების მოცულობა 2022 წლის დეკემბერში დაიგეგმა 17.4 მლრდ ლარის ოდენობით, რაც მშპ-ის 21,9%-ის ფარგლებშია, თუმცა 2023 წლის ფაქტიურმა შესრულებამ შეადგინა 17.9 მლრდ ლარი, რაც მშპ-ის 22,3%-ია.</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2024 წლის ნაერთი ბიუჯეტის მიმდინარე ხარჯების მოცულობა 2023 წლის დეკემბერში დაიგეგმა 20.1 მლრდ ლარის ოდენობით, რაც მშპ-ის 23,3%-ის ფარგლებშია, თუმცა მიმდინარე წელს გადამუშავებული პროგნოზების მიხედვით გაზრდილია 20.7 მლრდ ლარამდე, რაც მშპ-ის 23,1%-ია.</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2024 წლის მიმდინარე ხარჯების გაზრდა ძირითადად გამოწვეულია ჯანმრთელობის და განათლების მიმართულებით დამატებით არსებული საჭიროებების დაფინანსებით, ასევე სტიქიის შედეგების სალიკვიდაციო ღონისძიებების დასაფინანსებლად არსებული საჭიროებების, </w:t>
      </w:r>
      <w:r w:rsidRPr="00511B42">
        <w:rPr>
          <w:rFonts w:ascii="Sylfaen" w:hAnsi="Sylfaen" w:cs="Sylfaen"/>
          <w:bCs/>
          <w:noProof/>
          <w:lang w:val="ka-GE"/>
        </w:rPr>
        <w:lastRenderedPageBreak/>
        <w:t>სპორტსმენების ჯილდოების, ელექტრონული არჩევნების ღონისძიებების, ასევე სხვადასხვა ინფრასტრუქტურული პროექტების დაფინანსებით.</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2025 წელს მიმდინარე ხარჯების მოცულობა 22,5 მლრდ ლარზე მეტია, რაც მშპ-სთან მიმართებაში 23,1%-ს შეადგენს, ხოლო საშუალოვადიან პერიოდში მიმდინარე ხარჯების მოცულობა მშპ-სთან მიმართებაში საშუალოდ 23.6%-ის ფარგლებშია შენარჩუნებული.</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 კაპიტალური ხარჯების მოცულობა (არაფინანსური აქტივების ზრდა და ფინანსური აქტივების ზრდა) როგორც 2024, ისე 2025 წელსაც 7.0 მლრდ ლარს აჭარბებს. 2025 წლის მაჩვენებელი მშპ-ის 7.4%-ის ფარგლებში, ხოლო საშუალოვადიან პერიოდში 6,5%-ზე მაღალ ნიშნულზეა შენარჩუნებული.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2025 წელს ნაერთი ბიუჯეტის ხარჯვითი ნაწილი ნაწილი 31,2 მლრდ ლარს შეადგენს, </w:t>
      </w:r>
      <w:r w:rsidRPr="00511B42">
        <w:rPr>
          <w:rFonts w:ascii="Sylfaen" w:hAnsi="Sylfaen"/>
          <w:lang w:val="ka-GE"/>
        </w:rPr>
        <w:t>რომლის ფარგლებშიც სრულად ფინანსდება სახელმწიფოს მიერ აღებული ვალდებულებები.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27947"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lang w:val="ka-GE"/>
        </w:rPr>
      </w:pPr>
      <w:r w:rsidRPr="00511B42">
        <w:rPr>
          <w:rFonts w:ascii="Sylfaen" w:hAnsi="Sylfaen" w:cs="Sylfaen"/>
          <w:bCs/>
          <w:noProof/>
          <w:sz w:val="22"/>
          <w:szCs w:val="22"/>
          <w:lang w:val="ka-GE"/>
        </w:rPr>
        <w:t xml:space="preserve"> </w:t>
      </w:r>
      <w:r w:rsidRPr="004477A4">
        <w:rPr>
          <w:rFonts w:ascii="Sylfaen" w:hAnsi="Sylfaen"/>
          <w:b/>
          <w:sz w:val="22"/>
          <w:lang w:val="ka-GE"/>
        </w:rPr>
        <w:t>2025 წლის ბიუჯეტი ითვალისწინებს:</w:t>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სოციალური მიმართულებით</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Pr>
          <w:rFonts w:ascii="Sylfaen" w:hAnsi="Sylfaen"/>
          <w:sz w:val="22"/>
          <w:szCs w:val="22"/>
          <w:lang w:val="ka-GE"/>
        </w:rPr>
        <w:t>მოსახლეობის სოციალური მხარდაჭერისა და ჯანდაცვის პროგრამებ</w:t>
      </w:r>
      <w:r w:rsidRPr="00511B42">
        <w:rPr>
          <w:rFonts w:ascii="Sylfaen" w:hAnsi="Sylfaen"/>
          <w:sz w:val="22"/>
          <w:szCs w:val="22"/>
          <w:lang w:val="ka-GE"/>
        </w:rPr>
        <w:t>ის</w:t>
      </w:r>
      <w:r>
        <w:rPr>
          <w:rFonts w:ascii="Sylfaen" w:hAnsi="Sylfaen"/>
          <w:sz w:val="22"/>
          <w:szCs w:val="22"/>
          <w:lang w:val="ka-GE"/>
        </w:rPr>
        <w:t xml:space="preserve"> დასაფინანსებლად სამინისტროს დაფინანსება გაზრდილია 870.0 მლნ ლარით, რომლის</w:t>
      </w:r>
      <w:r w:rsidRPr="00511B42">
        <w:rPr>
          <w:rFonts w:ascii="Sylfaen" w:hAnsi="Sylfaen"/>
          <w:sz w:val="22"/>
          <w:szCs w:val="22"/>
          <w:lang w:val="ka-GE"/>
        </w:rPr>
        <w:t xml:space="preserve"> ფარგლებში გათვალისწინებულია: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70 წლის და მეტი ასაკის პენსიონერთა პენსია იზრდება 35 ლარით და განისაზღვრება 450 ლარის ოდენობით. ამავე კატეგორიის პენსიონერთა პენსია მაღალმთიან დასახლებებში თითქმის 540 ლარს გაუტოლდება;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70 წლამდე პირთა პენსია იზრდება 20 ლარით და განისაზღვრება 335 ლარის ოდენობით, ხოლო მაღალმთიან დასახლებებში 400 ლარს გადააჭარბებს;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გარდა პენსიისა, გათვალისწინებულია მკვეთრად გამოხატული და 18 წლამდე შშმ პირების სოციალური გასაცემლის ზრდა 35 ლარით, ხოლო დანარჩენი კატეგორიის შშმ პირთა გასაცემლის ზრდა 20 ლარით;</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ჯამში სოციალური პროგრამების დაფინანსება შეადგენს 6,3 მილიარდ ლარს;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ჯანდაცვის პროგრამების დასაფინანსებლად გამოყოფილია 1,9 მილიარდ ლარზე მეტი, მათ შორის გათვალისწინებულია პირველადი ჯანდაცვის პერსონალის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დევნილთა სახლებით უზრუნველყოფის მიზნით გათვალისწინებულია 240,0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განათლების მიმართულებით</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განათლების და მეცნიერების მიმართულებით დაფინანსება გაზრდილია 370,0 მლნ ლარზე მეტით, რომლის ფარგლებშიც:</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საჯარო სკოლების დაფინანსებაზე მიიმართება დამატებით 200,0 მლნ ლარი, რომლის ფარგლებშიც განხორციელდება მიმდინარე წლის ივლისიდან გაზრდილი ხელფასების სრულად დაფინანსება;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საჯარო სკოლების მშენებლობა-რეაბილიტაციისთვის გამოყოფილია 560</w:t>
      </w:r>
      <w:r w:rsidRPr="00511B42">
        <w:rPr>
          <w:rFonts w:ascii="Sylfaen" w:hAnsi="Sylfaen"/>
          <w:sz w:val="22"/>
          <w:szCs w:val="22"/>
          <w:lang w:val="en-US"/>
        </w:rPr>
        <w:t>,0</w:t>
      </w:r>
      <w:r w:rsidRPr="00511B42">
        <w:rPr>
          <w:rFonts w:ascii="Sylfaen" w:hAnsi="Sylfaen"/>
          <w:sz w:val="22"/>
          <w:szCs w:val="22"/>
          <w:lang w:val="ka-GE"/>
        </w:rPr>
        <w:t xml:space="preserve"> მლნ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lastRenderedPageBreak/>
        <w:t>საბავშვო ბაღების მშენებლობა-რეაბილიტაციაზე მიიმართება 180,0 მლნ ლარზე მეტი;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ზრდა.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lang w:val="ka-GE"/>
        </w:rPr>
      </w:pPr>
      <w:r w:rsidRPr="00511B42">
        <w:rPr>
          <w:rFonts w:ascii="Sylfaen" w:hAnsi="Sylfaen"/>
          <w:b/>
          <w:lang w:val="ka-GE"/>
        </w:rPr>
        <w:t xml:space="preserve">კულტურისა და სპორტის </w:t>
      </w:r>
      <w:r w:rsidRPr="00511B42">
        <w:rPr>
          <w:rFonts w:ascii="Sylfaen" w:hAnsi="Sylfaen"/>
          <w:lang w:val="ka-GE"/>
        </w:rPr>
        <w:t>დაფინანსებაზე ნაერთი ბიუჯეტიდან მიიმართება 920,0 მლნ ლარზე მეტი, ხოლო სახელმწიფო ბიუჯეტის ფარგლებში გათვალისწინებულია 515,0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თავდაცვისა და უსაფრთხოების მიმართულებით</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თავდაცვის, შინაგან საქმეთა სამინისტროს და უსაფრთხოების სამსახურების დაფინანსება იზრდება 330</w:t>
      </w:r>
      <w:r w:rsidRPr="00511B42">
        <w:rPr>
          <w:rFonts w:ascii="Sylfaen" w:hAnsi="Sylfaen"/>
          <w:sz w:val="22"/>
          <w:szCs w:val="22"/>
          <w:lang w:val="en-US"/>
        </w:rPr>
        <w:t>,0</w:t>
      </w:r>
      <w:r w:rsidRPr="00511B42">
        <w:rPr>
          <w:rFonts w:ascii="Sylfaen" w:hAnsi="Sylfaen"/>
          <w:sz w:val="22"/>
          <w:szCs w:val="22"/>
          <w:lang w:val="ka-GE"/>
        </w:rPr>
        <w:t xml:space="preserve"> მლნ ლარზე მეტით, რომლის ფარგლებშიც განხორციელდება პოლიციელებისა და ჯარისკაცების ხელფასების 10%-იანი ზრდა;</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410,0 მლნ ლარი;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highlight w:val="yellow"/>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ინფრასტრუქტურა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ჯამში, ნაერთი ბიუჯეტიდან ინფრასტრუქტურის განვითარებაზე მიიმართება 7,0 მილიარდ ლარზე მეტი,  მათ შორის:</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საგზაო ინფრასტრუქტურის გაუმჯობესებაზე მიიმართება 1,5 მილიარდ ლარამდე, მათ შორის ჩქაროსნული მაგისტრალების მშენებლობას მოხმარდება 1,0 მილიარდ ლარამდე;</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მუნიციპალური ინფრასტრუქტურის გაუმჯობესებისთვის გათვალისწინებულია 2,1 მილიარდ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წყალმომარაგებისა და წყალარინების სექტორის გაუმჯობესებაზე მიიმართება 670,0 მლნ ლარზე მეტი;</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საგანმანათლებლო ინფრასტრუქტურაზე მიიმართება 930,0 მლნ ლარამდე;</w:t>
      </w:r>
    </w:p>
    <w:p w:rsidR="00F27947" w:rsidRPr="00511B42" w:rsidRDefault="00F27947" w:rsidP="00F2794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511B42">
        <w:rPr>
          <w:rFonts w:ascii="Sylfaen" w:hAnsi="Sylfaen"/>
          <w:sz w:val="22"/>
          <w:szCs w:val="22"/>
          <w:lang w:val="ka-GE"/>
        </w:rPr>
        <w:t>ტურისტული ინფრასტრუქტურის გაუმჯობესებაზე გათვალისწინებულია 150,0 მლნ ლარზე მეტი</w:t>
      </w:r>
      <w:r>
        <w:rPr>
          <w:rFonts w:ascii="Sylfaen" w:hAnsi="Sylfaen"/>
          <w:sz w:val="22"/>
          <w:szCs w:val="22"/>
          <w:lang w:val="ka-GE"/>
        </w:rPr>
        <w:t>.</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highlight w:val="yellow"/>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lang w:val="ka-GE"/>
        </w:rPr>
      </w:pPr>
      <w:r w:rsidRPr="00511B42">
        <w:rPr>
          <w:rFonts w:ascii="Sylfaen" w:hAnsi="Sylfaen"/>
          <w:b/>
          <w:lang w:val="ka-GE"/>
        </w:rPr>
        <w:t xml:space="preserve">მცირე და საშუალო ბიზნესის ხელშეწყობის </w:t>
      </w:r>
      <w:r w:rsidRPr="00511B42">
        <w:rPr>
          <w:rFonts w:ascii="Sylfaen" w:hAnsi="Sylfaen"/>
          <w:lang w:val="ka-GE"/>
        </w:rPr>
        <w:t>მიზნით 2025 წელს გათვალისწინებულია 280,0 მლნ ლარზე მეტი.</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 xml:space="preserve">სოფლის მეურნეობის </w:t>
      </w:r>
      <w:r w:rsidRPr="00511B42">
        <w:rPr>
          <w:rFonts w:ascii="Sylfaen" w:hAnsi="Sylfaen"/>
          <w:lang w:val="ka-GE"/>
        </w:rPr>
        <w:t>პროგრამების დაფინანსებისთვის გათვალისწინებულია 630,0 მლნ ლარზე მეტი;</w:t>
      </w:r>
    </w:p>
    <w:p w:rsidR="00F27947" w:rsidRPr="00511B42" w:rsidRDefault="00F27947" w:rsidP="00F27947">
      <w:pPr>
        <w:pStyle w:val="ListParagraph"/>
        <w:tabs>
          <w:tab w:val="left" w:pos="1134"/>
        </w:tabs>
        <w:spacing w:line="276" w:lineRule="auto"/>
        <w:ind w:left="426"/>
        <w:jc w:val="both"/>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 xml:space="preserve">გარემოს დაცვის </w:t>
      </w:r>
      <w:r w:rsidRPr="00511B42">
        <w:rPr>
          <w:rFonts w:ascii="Sylfaen" w:hAnsi="Sylfaen"/>
          <w:lang w:val="ka-GE"/>
        </w:rPr>
        <w:t>პროგრამების დაფინანსებისთვის გამოყოფილია 240,0 მლნ ლარამდე;</w:t>
      </w:r>
    </w:p>
    <w:p w:rsidR="00F27947" w:rsidRPr="00511B42" w:rsidRDefault="00F27947" w:rsidP="00F27947">
      <w:pPr>
        <w:pStyle w:val="ListParagraph"/>
        <w:spacing w:line="276" w:lineRule="auto"/>
        <w:rPr>
          <w:rFonts w:ascii="Sylfaen" w:hAnsi="Sylfaen"/>
          <w:b/>
          <w:lang w:val="ka-GE"/>
        </w:rPr>
      </w:pPr>
    </w:p>
    <w:p w:rsidR="00F27947" w:rsidRPr="00511B42" w:rsidRDefault="00F27947" w:rsidP="00F27947">
      <w:pPr>
        <w:pStyle w:val="ListParagraph"/>
        <w:numPr>
          <w:ilvl w:val="0"/>
          <w:numId w:val="26"/>
        </w:numPr>
        <w:tabs>
          <w:tab w:val="left" w:pos="1134"/>
        </w:tabs>
        <w:spacing w:after="0" w:line="276" w:lineRule="auto"/>
        <w:ind w:left="426"/>
        <w:jc w:val="both"/>
        <w:rPr>
          <w:rFonts w:ascii="Sylfaen" w:hAnsi="Sylfaen"/>
          <w:b/>
          <w:lang w:val="ka-GE"/>
        </w:rPr>
      </w:pPr>
      <w:r w:rsidRPr="00511B42">
        <w:rPr>
          <w:rFonts w:ascii="Sylfaen" w:hAnsi="Sylfaen"/>
          <w:b/>
          <w:lang w:val="ka-GE"/>
        </w:rPr>
        <w:t>საჯარო მოხელეთა ანაზღაურება</w:t>
      </w:r>
    </w:p>
    <w:p w:rsidR="00F27947" w:rsidRPr="00511B42" w:rsidRDefault="00F27947" w:rsidP="00F2794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511B42">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Pr="00511B42">
        <w:rPr>
          <w:rFonts w:ascii="Sylfaen" w:hAnsi="Sylfaen"/>
          <w:sz w:val="22"/>
          <w:szCs w:val="22"/>
          <w:lang w:val="en-US"/>
        </w:rPr>
        <w:t xml:space="preserve"> </w:t>
      </w:r>
      <w:r w:rsidRPr="00511B42">
        <w:rPr>
          <w:rFonts w:ascii="Sylfaen" w:hAnsi="Sylfaen"/>
          <w:sz w:val="22"/>
          <w:szCs w:val="22"/>
          <w:lang w:val="ka-GE"/>
        </w:rPr>
        <w:t>ცვლილებების შესაბამისად 2025 წელს გათვალისწინებულია საბიუჯეტო ორგანიზაციებში დასაქმებულთა ანაზღაურების 10%-იანი ზრდა;</w:t>
      </w:r>
    </w:p>
    <w:p w:rsidR="00F27947" w:rsidRPr="00511B42" w:rsidRDefault="00F27947" w:rsidP="00F27947">
      <w:pPr>
        <w:spacing w:after="0" w:line="276" w:lineRule="auto"/>
        <w:ind w:firstLine="720"/>
        <w:jc w:val="both"/>
        <w:rPr>
          <w:rFonts w:ascii="Sylfaen" w:hAnsi="Sylfaen" w:cs="Sylfaen"/>
          <w:lang w:val="ka-GE"/>
        </w:rPr>
      </w:pP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lastRenderedPageBreak/>
        <w:t>ქვემოთ მოცემულ ცხრილში (ცხრილი №8) წარმოდგენილია მიმდინარე და კაპიტალური ხარჯების პროგნოზები 2025-2028 წლებისთვის:</w:t>
      </w:r>
    </w:p>
    <w:p w:rsidR="00F27947" w:rsidRDefault="00F27947" w:rsidP="00F27947">
      <w:pPr>
        <w:spacing w:after="0" w:line="276" w:lineRule="auto"/>
        <w:ind w:firstLine="720"/>
        <w:jc w:val="both"/>
        <w:rPr>
          <w:rFonts w:ascii="Sylfaen" w:hAnsi="Sylfaen" w:cs="Sylfaen"/>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№8 - მიმდინარე და კაპიტალური ხარჯების პროგნოზები</w:t>
      </w:r>
    </w:p>
    <w:p w:rsidR="00F27947" w:rsidRPr="00511B42" w:rsidRDefault="00F27947" w:rsidP="00F27947">
      <w:pPr>
        <w:spacing w:after="0" w:line="276" w:lineRule="auto"/>
        <w:jc w:val="right"/>
        <w:rPr>
          <w:rFonts w:ascii="Sylfaen" w:hAnsi="Sylfaen"/>
          <w:b/>
          <w:i/>
          <w:sz w:val="16"/>
          <w:lang w:val="ka-GE"/>
        </w:rPr>
      </w:pPr>
      <w:r w:rsidRPr="00511B42">
        <w:rPr>
          <w:rFonts w:ascii="Sylfaen" w:hAnsi="Sylfaen"/>
          <w:b/>
          <w:i/>
          <w:sz w:val="16"/>
          <w:lang w:val="ka-GE"/>
        </w:rPr>
        <w:t>მლნ ლარი</w:t>
      </w:r>
    </w:p>
    <w:tbl>
      <w:tblPr>
        <w:tblW w:w="5167" w:type="pct"/>
        <w:tblLook w:val="04A0" w:firstRow="1" w:lastRow="0" w:firstColumn="1" w:lastColumn="0" w:noHBand="0" w:noVBand="1"/>
      </w:tblPr>
      <w:tblGrid>
        <w:gridCol w:w="3541"/>
        <w:gridCol w:w="893"/>
        <w:gridCol w:w="893"/>
        <w:gridCol w:w="1068"/>
        <w:gridCol w:w="1068"/>
        <w:gridCol w:w="1070"/>
        <w:gridCol w:w="1068"/>
        <w:gridCol w:w="13"/>
        <w:gridCol w:w="1068"/>
      </w:tblGrid>
      <w:tr w:rsidR="00F27947" w:rsidRPr="00511B42" w:rsidTr="009821BC">
        <w:trPr>
          <w:trHeight w:val="345"/>
          <w:tblHeader/>
        </w:trPr>
        <w:tc>
          <w:tcPr>
            <w:tcW w:w="1657"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დასახელება</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2022</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2025</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2026</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2027</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2028</w:t>
            </w:r>
          </w:p>
        </w:tc>
      </w:tr>
      <w:tr w:rsidR="00F27947" w:rsidRPr="00511B42" w:rsidTr="009821BC">
        <w:trPr>
          <w:trHeight w:val="345"/>
          <w:tblHeader/>
        </w:trPr>
        <w:tc>
          <w:tcPr>
            <w:tcW w:w="1657"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ფაქტი</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ფაქტი</w:t>
            </w:r>
          </w:p>
        </w:tc>
        <w:tc>
          <w:tcPr>
            <w:tcW w:w="500"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c>
          <w:tcPr>
            <w:tcW w:w="500" w:type="pct"/>
            <w:gridSpan w:val="2"/>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Sylfaen"/>
                <w:b/>
                <w:bCs/>
                <w:sz w:val="16"/>
                <w:szCs w:val="16"/>
                <w:lang w:val="en-GB" w:eastAsia="en-GB"/>
              </w:rPr>
              <w:t>პროგნოზი</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1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14 753.0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15 768.0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16 887.0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18 071.0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15 743.0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17 416.0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18 364.0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19 832.0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21 357.0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990.0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1 648.0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1 477.0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1 761.0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15 610.9</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17 841.0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20 071.0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21 792.0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23 558.0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25 520.0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15 610.9</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17 913.2</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20 320.0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22 360.0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24 391.0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26 316.0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28 422.0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72.2</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249.0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568.0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833.0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796.0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15 616.1</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17 913.6</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20 700.0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22 531.0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24 840.0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26 835.0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28 990.0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72.6</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629.0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739.0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1 282.0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1 315.0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171.0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449.0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519.0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568.0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კაპიტალური 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არაფინანსური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5 679.0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4 669.0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5 024.0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5 374.0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5 935.0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6 120.0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6 310.0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6 690.0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256.0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1 451.0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886.0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936.0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6 479.0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6 907.0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6 620.0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6 940.0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6 532.8</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7 110.0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6 350.0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6 450.0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6 850.0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7 325.0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53.8</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5 968.2</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6 532.9</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7 170.0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6 880.0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6 750.0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7 050.0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7 450.0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53.9</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263.0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110.0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530.0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200.0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125.0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205.0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390.0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185.0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70.0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290.0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265.0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227.0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sz w:val="16"/>
                <w:szCs w:val="16"/>
                <w:lang w:val="en-GB" w:eastAsia="en-GB"/>
              </w:rPr>
            </w:pPr>
            <w:r w:rsidRPr="00511B42">
              <w:rPr>
                <w:rFonts w:ascii="Sylfaen" w:eastAsia="Times New Roman" w:hAnsi="Sylfaen" w:cs="Arial"/>
                <w:i/>
                <w:iCs/>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სექტემბერი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443.5</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250.0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329.0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230.0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69.0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-35.0</w:t>
            </w:r>
          </w:p>
        </w:tc>
        <w:tc>
          <w:tcPr>
            <w:tcW w:w="500" w:type="pct"/>
            <w:gridSpan w:val="2"/>
            <w:tcBorders>
              <w:top w:val="nil"/>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23.0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99.0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r w:rsidR="00F27947" w:rsidRPr="00511B42" w:rsidTr="009821BC">
        <w:trPr>
          <w:trHeight w:val="345"/>
        </w:trPr>
        <w:tc>
          <w:tcPr>
            <w:tcW w:w="4500" w:type="pct"/>
            <w:gridSpan w:val="8"/>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მშპ-თან</w:t>
            </w:r>
          </w:p>
        </w:tc>
        <w:tc>
          <w:tcPr>
            <w:tcW w:w="500" w:type="pct"/>
            <w:tcBorders>
              <w:top w:val="nil"/>
              <w:left w:val="nil"/>
              <w:bottom w:val="nil"/>
              <w:right w:val="nil"/>
            </w:tcBorders>
            <w:shd w:val="clear" w:color="auto" w:fill="auto"/>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21.8%</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21.9%</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21.1%</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-1.0%</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-0.9%</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-0.6%</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lastRenderedPageBreak/>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21.4%</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22.3%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23.6%</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23.5%</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21.4%</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22.3%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23.6%</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23.5%</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23.4%</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კაპიტალური ხარჯები</w:t>
            </w:r>
          </w:p>
        </w:tc>
        <w:tc>
          <w:tcPr>
            <w:tcW w:w="2337"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არაფინანსური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8.8%</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6.5%</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6.8%</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-0.5%</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1.1%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0.2%</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8.3%</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7.2%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6.6%</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6.4%</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8.1%</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6.7%</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6.1%</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6.1%</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-0.5%</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-0.3%</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8.2%</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8.0%</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7.1%</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6.0%</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-0.2%</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0.4%</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ფინანსური აქტივების ზრდა</w:t>
            </w:r>
          </w:p>
        </w:tc>
        <w:tc>
          <w:tcPr>
            <w:tcW w:w="2337"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single" w:sz="4" w:space="0" w:color="BDD7EE"/>
              <w:left w:val="nil"/>
              <w:bottom w:val="single" w:sz="4" w:space="0" w:color="BDD7EE"/>
              <w:right w:val="single" w:sz="4" w:space="0" w:color="BDD7EE"/>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FFF2CC"/>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2022-2025 (2021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2023-2026 (2022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0.5%</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345"/>
        </w:trPr>
        <w:tc>
          <w:tcPr>
            <w:tcW w:w="1657"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0.2%</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color w:val="C65911"/>
                <w:sz w:val="16"/>
                <w:szCs w:val="16"/>
                <w:lang w:val="en-GB" w:eastAsia="en-GB"/>
              </w:rPr>
            </w:pPr>
            <w:r w:rsidRPr="00511B42">
              <w:rPr>
                <w:rFonts w:ascii="Sylfaen" w:eastAsia="Times New Roman" w:hAnsi="Sylfaen" w:cs="Arial"/>
                <w:color w:val="C65911"/>
                <w:sz w:val="16"/>
                <w:szCs w:val="16"/>
                <w:lang w:val="en-GB" w:eastAsia="en-GB"/>
              </w:rPr>
              <w:t>0.0%</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tcBorders>
              <w:top w:val="nil"/>
              <w:left w:val="nil"/>
              <w:bottom w:val="single" w:sz="4" w:space="0" w:color="BDD7EE"/>
              <w:right w:val="single" w:sz="4" w:space="0" w:color="BDD7EE"/>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2024-2027 (2023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დეკემბერი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gridSpan w:val="2"/>
            <w:tcBorders>
              <w:top w:val="nil"/>
              <w:left w:val="nil"/>
              <w:bottom w:val="nil"/>
              <w:right w:val="nil"/>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xml:space="preserve">2025-2028 (2024 </w:t>
            </w:r>
            <w:r w:rsidRPr="00511B42">
              <w:rPr>
                <w:rFonts w:ascii="Sylfaen" w:eastAsia="Times New Roman" w:hAnsi="Sylfaen" w:cs="Sylfaen"/>
                <w:sz w:val="16"/>
                <w:szCs w:val="16"/>
                <w:lang w:val="en-GB" w:eastAsia="en-GB"/>
              </w:rPr>
              <w:t>წლის</w:t>
            </w:r>
            <w:r w:rsidRPr="00511B42">
              <w:rPr>
                <w:rFonts w:ascii="Sylfaen" w:eastAsia="Times New Roman" w:hAnsi="Sylfaen" w:cs="Arial"/>
                <w:sz w:val="16"/>
                <w:szCs w:val="16"/>
                <w:lang w:val="en-GB" w:eastAsia="en-GB"/>
              </w:rPr>
              <w:t xml:space="preserve"> </w:t>
            </w:r>
            <w:r w:rsidRPr="00511B42">
              <w:rPr>
                <w:rFonts w:ascii="Sylfaen" w:eastAsia="Times New Roman" w:hAnsi="Sylfaen" w:cs="Sylfaen"/>
                <w:sz w:val="16"/>
                <w:szCs w:val="16"/>
                <w:lang w:val="en-GB" w:eastAsia="en-GB"/>
              </w:rPr>
              <w:t>ივლისი</w:t>
            </w:r>
            <w:r w:rsidRPr="00511B42">
              <w:rPr>
                <w:rFonts w:ascii="Sylfaen" w:eastAsia="Times New Roman" w:hAnsi="Sylfaen" w:cs="Arial"/>
                <w:sz w:val="16"/>
                <w:szCs w:val="16"/>
                <w:lang w:val="en-GB" w:eastAsia="en-GB"/>
              </w:rPr>
              <w:t>)</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0.6%</w:t>
            </w:r>
          </w:p>
        </w:tc>
        <w:tc>
          <w:tcPr>
            <w:tcW w:w="418"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0.4%</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0.3%</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0.2%</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 xml:space="preserve">2025-2028 (2024 </w:t>
            </w:r>
            <w:r w:rsidRPr="00511B42">
              <w:rPr>
                <w:rFonts w:ascii="Sylfaen" w:eastAsia="Times New Roman" w:hAnsi="Sylfaen" w:cs="Sylfaen"/>
                <w:b/>
                <w:bCs/>
                <w:sz w:val="16"/>
                <w:szCs w:val="16"/>
                <w:lang w:val="en-GB" w:eastAsia="en-GB"/>
              </w:rPr>
              <w:t>წლის</w:t>
            </w:r>
            <w:r w:rsidRPr="00511B42">
              <w:rPr>
                <w:rFonts w:ascii="Sylfaen" w:eastAsia="Times New Roman" w:hAnsi="Sylfaen" w:cs="Arial"/>
                <w:b/>
                <w:bCs/>
                <w:sz w:val="16"/>
                <w:szCs w:val="16"/>
                <w:lang w:val="en-GB" w:eastAsia="en-GB"/>
              </w:rPr>
              <w:t xml:space="preserve"> </w:t>
            </w:r>
            <w:r w:rsidRPr="00511B42">
              <w:rPr>
                <w:rFonts w:ascii="Sylfaen" w:eastAsia="Times New Roman" w:hAnsi="Sylfaen" w:cs="Sylfaen"/>
                <w:b/>
                <w:bCs/>
                <w:sz w:val="16"/>
                <w:szCs w:val="16"/>
                <w:lang w:val="en-GB" w:eastAsia="en-GB"/>
              </w:rPr>
              <w:t>სექტემბერი</w:t>
            </w:r>
            <w:r w:rsidRPr="00511B42">
              <w:rPr>
                <w:rFonts w:ascii="Sylfaen" w:eastAsia="Times New Roman" w:hAnsi="Sylfaen" w:cs="Arial"/>
                <w:b/>
                <w:bCs/>
                <w:sz w:val="16"/>
                <w:szCs w:val="16"/>
                <w:lang w:val="en-GB" w:eastAsia="en-GB"/>
              </w:rPr>
              <w:t>)</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0.6%</w:t>
            </w:r>
          </w:p>
        </w:tc>
        <w:tc>
          <w:tcPr>
            <w:tcW w:w="418"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0.4%</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0.3%</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c>
          <w:tcPr>
            <w:tcW w:w="50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c>
          <w:tcPr>
            <w:tcW w:w="500" w:type="pct"/>
            <w:gridSpan w:val="2"/>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b/>
                <w:bCs/>
                <w:sz w:val="16"/>
                <w:szCs w:val="16"/>
                <w:lang w:val="en-GB" w:eastAsia="en-GB"/>
              </w:rPr>
            </w:pPr>
            <w:r w:rsidRPr="00511B42">
              <w:rPr>
                <w:rFonts w:ascii="Sylfaen" w:eastAsia="Times New Roman" w:hAnsi="Sylfaen" w:cs="Arial"/>
                <w:b/>
                <w:bCs/>
                <w:sz w:val="16"/>
                <w:szCs w:val="16"/>
                <w:lang w:val="en-GB" w:eastAsia="en-GB"/>
              </w:rPr>
              <w:t>0.2%</w:t>
            </w:r>
          </w:p>
        </w:tc>
      </w:tr>
      <w:tr w:rsidR="00F27947" w:rsidRPr="00511B42" w:rsidTr="009821BC">
        <w:trPr>
          <w:trHeight w:val="255"/>
        </w:trPr>
        <w:tc>
          <w:tcPr>
            <w:tcW w:w="165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(დეკემბრის პროგნოზთან)</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single" w:sz="4" w:space="0" w:color="B4C6E7"/>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single" w:sz="4" w:space="0" w:color="B4C6E7"/>
              <w:left w:val="nil"/>
              <w:bottom w:val="single" w:sz="4" w:space="0" w:color="B4C6E7"/>
              <w:right w:val="single" w:sz="4" w:space="0" w:color="B4C6E7"/>
            </w:tcBorders>
            <w:shd w:val="clear" w:color="000000" w:fill="DDEBF7"/>
            <w:noWrap/>
            <w:vAlign w:val="center"/>
            <w:hideMark/>
          </w:tcPr>
          <w:p w:rsidR="00F27947" w:rsidRPr="00511B42" w:rsidRDefault="00F27947" w:rsidP="009821BC">
            <w:pPr>
              <w:spacing w:after="0" w:line="240" w:lineRule="auto"/>
              <w:jc w:val="center"/>
              <w:outlineLvl w:val="0"/>
              <w:rPr>
                <w:rFonts w:ascii="Sylfaen" w:eastAsia="Times New Roman" w:hAnsi="Sylfaen" w:cs="Arial"/>
                <w:sz w:val="16"/>
                <w:szCs w:val="16"/>
                <w:lang w:val="en-GB" w:eastAsia="en-GB"/>
              </w:rPr>
            </w:pPr>
            <w:r w:rsidRPr="00511B42">
              <w:rPr>
                <w:rFonts w:ascii="Sylfaen" w:eastAsia="Times New Roman" w:hAnsi="Sylfaen" w:cs="Arial"/>
                <w:sz w:val="16"/>
                <w:szCs w:val="16"/>
                <w:lang w:val="en-GB" w:eastAsia="en-GB"/>
              </w:rPr>
              <w:t> </w:t>
            </w:r>
          </w:p>
        </w:tc>
      </w:tr>
      <w:tr w:rsidR="00F27947" w:rsidRPr="00511B42" w:rsidTr="009821BC">
        <w:trPr>
          <w:trHeight w:val="255"/>
        </w:trPr>
        <w:tc>
          <w:tcPr>
            <w:tcW w:w="1657" w:type="pct"/>
            <w:tcBorders>
              <w:top w:val="nil"/>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ცვლილება (ივლისის პროგნოზთან)</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418"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0.1%</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c>
          <w:tcPr>
            <w:tcW w:w="500" w:type="pct"/>
            <w:gridSpan w:val="2"/>
            <w:tcBorders>
              <w:top w:val="nil"/>
              <w:left w:val="nil"/>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outlineLvl w:val="0"/>
              <w:rPr>
                <w:rFonts w:ascii="Sylfaen" w:eastAsia="Times New Roman" w:hAnsi="Sylfaen" w:cs="Arial"/>
                <w:i/>
                <w:iCs/>
                <w:color w:val="C65911"/>
                <w:sz w:val="16"/>
                <w:szCs w:val="16"/>
                <w:lang w:val="en-GB" w:eastAsia="en-GB"/>
              </w:rPr>
            </w:pPr>
            <w:r w:rsidRPr="00511B42">
              <w:rPr>
                <w:rFonts w:ascii="Sylfaen" w:eastAsia="Times New Roman" w:hAnsi="Sylfaen" w:cs="Arial"/>
                <w:i/>
                <w:iCs/>
                <w:color w:val="C65911"/>
                <w:sz w:val="16"/>
                <w:szCs w:val="16"/>
                <w:lang w:val="en-GB" w:eastAsia="en-GB"/>
              </w:rPr>
              <w:t>0.0%</w:t>
            </w:r>
          </w:p>
        </w:tc>
      </w:tr>
    </w:tbl>
    <w:p w:rsidR="00F27947" w:rsidRPr="00511B42" w:rsidRDefault="00F27947" w:rsidP="00F27947">
      <w:pPr>
        <w:tabs>
          <w:tab w:val="left" w:pos="90"/>
        </w:tabs>
        <w:spacing w:after="0" w:line="276" w:lineRule="auto"/>
        <w:jc w:val="both"/>
        <w:rPr>
          <w:rFonts w:ascii="Sylfaen" w:hAnsi="Sylfaen"/>
          <w:lang w:val="ka-GE"/>
        </w:rPr>
      </w:pPr>
    </w:p>
    <w:p w:rsidR="00F27947" w:rsidRPr="00511B42"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lang w:val="ka-GE"/>
        </w:rPr>
        <w:t>აღსანიშნავია, რომ წარმოდგენილი</w:t>
      </w:r>
      <w:r w:rsidRPr="00511B42">
        <w:rPr>
          <w:rFonts w:ascii="Sylfaen" w:hAnsi="Sylfaen"/>
        </w:rPr>
        <w:t xml:space="preserve"> </w:t>
      </w:r>
      <w:r w:rsidRPr="00511B42">
        <w:rPr>
          <w:rFonts w:ascii="Sylfaen" w:hAnsi="Sylfaen"/>
          <w:lang w:val="ka-GE"/>
        </w:rPr>
        <w:t>პროგნოზები მომზადებულია 2025 წლის სახელმწიფო ბიუჯეტის პროექტის პირველად ვარიანტთან ერთად, მომდევნო 3 თვის განმავლობაში ერთის მხრივ განხორციელდება მაკროეკონომიკური დინამიკის ანალიზი, აქტიური კონსულტაციები გაიმართება ახალარჩეულ პარლამენტთან და შესაბამისად მოხდება ბიუჯეტის საბოლოო ვარიანტის ფორმირება.</w:t>
      </w:r>
    </w:p>
    <w:p w:rsidR="00F27947" w:rsidRDefault="00F27947" w:rsidP="00F27947">
      <w:pPr>
        <w:rPr>
          <w:rFonts w:ascii="Sylfaen" w:hAnsi="Sylfaen"/>
          <w:b/>
          <w:i/>
          <w:sz w:val="20"/>
          <w:lang w:val="ka-GE"/>
        </w:rPr>
      </w:pPr>
      <w:r>
        <w:rPr>
          <w:rFonts w:ascii="Sylfaen" w:hAnsi="Sylfaen"/>
          <w:b/>
          <w:i/>
          <w:sz w:val="20"/>
          <w:lang w:val="ka-GE"/>
        </w:rPr>
        <w:br w:type="page"/>
      </w:r>
    </w:p>
    <w:p w:rsidR="00F27947" w:rsidRPr="00511B42" w:rsidRDefault="00F27947" w:rsidP="00F27947">
      <w:pPr>
        <w:pStyle w:val="Heading2"/>
        <w:ind w:firstLine="720"/>
        <w:jc w:val="both"/>
        <w:rPr>
          <w:rFonts w:ascii="Sylfaen" w:hAnsi="Sylfaen"/>
          <w:b/>
          <w:i/>
          <w:sz w:val="18"/>
          <w:lang w:val="ka-GE"/>
        </w:rPr>
      </w:pPr>
      <w:bookmarkStart w:id="3" w:name="_Toc89118362"/>
      <w:r w:rsidRPr="00511B42">
        <w:rPr>
          <w:rFonts w:ascii="Sylfaen" w:hAnsi="Sylfaen"/>
          <w:b/>
          <w:sz w:val="24"/>
          <w:lang w:val="ka-GE"/>
        </w:rPr>
        <w:lastRenderedPageBreak/>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bookmarkEnd w:id="3"/>
      <w:r w:rsidRPr="00511B42">
        <w:rPr>
          <w:rFonts w:ascii="Sylfaen" w:hAnsi="Sylfaen"/>
          <w:b/>
          <w:sz w:val="24"/>
          <w:lang w:val="ka-GE"/>
        </w:rPr>
        <w:t xml:space="preserve"> </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27947" w:rsidRPr="00511B42" w:rsidRDefault="00F27947" w:rsidP="00F27947">
      <w:pPr>
        <w:pStyle w:val="Heading3"/>
        <w:ind w:firstLine="720"/>
        <w:rPr>
          <w:rFonts w:ascii="Sylfaen" w:hAnsi="Sylfaen"/>
          <w:b/>
          <w:lang w:val="ka-GE"/>
        </w:rPr>
      </w:pPr>
      <w:r w:rsidRPr="00511B42">
        <w:rPr>
          <w:rFonts w:ascii="Sylfaen" w:hAnsi="Sylfaen"/>
          <w:b/>
          <w:lang w:val="ka-GE"/>
        </w:rPr>
        <w:t>ბიუჯეტის დეფიციტი</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27947" w:rsidRDefault="00F27947" w:rsidP="00F27947">
      <w:pPr>
        <w:tabs>
          <w:tab w:val="left" w:pos="90"/>
        </w:tabs>
        <w:spacing w:after="0" w:line="276" w:lineRule="auto"/>
        <w:ind w:firstLine="720"/>
        <w:jc w:val="both"/>
        <w:rPr>
          <w:rFonts w:ascii="Sylfaen" w:hAnsi="Sylfaen" w:cs="Sylfaen"/>
          <w:lang w:val="ka-GE"/>
        </w:rPr>
      </w:pPr>
      <w:r w:rsidRPr="00511B42">
        <w:rPr>
          <w:rFonts w:ascii="Sylfaen" w:hAnsi="Sylfaen" w:cs="Sylfaen"/>
          <w:lang w:val="ka-GE"/>
        </w:rPr>
        <w:t xml:space="preserve">პანდემიის შემდგომ, 2021 წლიდან ეკონომიკური ზრდის პროგნოზირებულზე სწრაფი აღდგენიდან გამომდინარე,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შესაძლებელი გახდა დეფიციტის კანონმდებლობით დადგენილ ზღვრებში ჩამოსვლა განხორციელებულიყო 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ხოლო 2022 წლის ფაქტიურმა მაჩვენებელი ჩამოცდა კანონმდებლობით დადგენილ ზღვარს და მშპ-სთან მიმართებაში 2,2% შეადგინა. 2023 წლისათვის სახელმწიფოს ერთიანი ბიუჯეტის უარყოფითი მთლიანი სალდო დაიგეგმა  (-2 261,0) მლნ ლარის ოდენობით, რაც მშპ-ის </w:t>
      </w:r>
      <w:r w:rsidRPr="00511B42">
        <w:rPr>
          <w:rFonts w:ascii="Sylfaen" w:hAnsi="Sylfaen" w:cs="Sylfaen"/>
        </w:rPr>
        <w:t>2,8</w:t>
      </w:r>
      <w:r w:rsidRPr="00511B42">
        <w:rPr>
          <w:rFonts w:ascii="Sylfaen" w:hAnsi="Sylfaen" w:cs="Sylfaen"/>
          <w:lang w:val="ka-GE"/>
        </w:rPr>
        <w:t xml:space="preserve">%-ს შეადგენს, ხოლო ფაქტიურმა მაჩვენებელმა (-1 781,8) მლნ ლარი შეადგინა, რაც მშპ-ის 2,2%-ია. </w:t>
      </w:r>
      <w:r w:rsidRPr="00511B42">
        <w:rPr>
          <w:rFonts w:ascii="Sylfaen" w:hAnsi="Sylfaen" w:cs="Sylfaen"/>
        </w:rPr>
        <w:t xml:space="preserve">2024 </w:t>
      </w:r>
      <w:r w:rsidRPr="00511B42">
        <w:rPr>
          <w:rFonts w:ascii="Sylfaen" w:hAnsi="Sylfaen" w:cs="Sylfaen"/>
          <w:lang w:val="ka-GE"/>
        </w:rPr>
        <w:t xml:space="preserve">წელს ნაერთი ბიუჯეტის მთლიანი სალდო შეადგენს (-2 235.0) მლნ ლარს, რაც მშპ-ის 2.5%-ია.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lang w:val="ka-GE"/>
        </w:rPr>
        <w:t xml:space="preserve">განახლებული პროგნოებით </w:t>
      </w:r>
      <w:r w:rsidRPr="00511B42">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27947" w:rsidRPr="00511B42" w:rsidRDefault="00F27947" w:rsidP="00F27947">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Theme="minorHAnsi" w:hAnsi="Sylfaen" w:cs="Sylfaen"/>
          <w:bCs/>
          <w:noProof/>
          <w:sz w:val="22"/>
          <w:szCs w:val="22"/>
          <w:lang w:val="ka-GE" w:eastAsia="en-US"/>
        </w:rPr>
      </w:pPr>
      <w:r w:rsidRPr="00511B42">
        <w:rPr>
          <w:rFonts w:ascii="Sylfaen" w:eastAsiaTheme="minorHAnsi" w:hAnsi="Sylfaen" w:cs="Sylfaen"/>
          <w:bCs/>
          <w:noProof/>
          <w:sz w:val="22"/>
          <w:szCs w:val="22"/>
          <w:lang w:val="ka-GE" w:eastAsia="en-US"/>
        </w:rPr>
        <w:t>2025 წელს სახელმწიფოს ერთიანი ბიუჯეტის უარყოფითი მთლიანი სალდო, განისაზღვრება (-2 440.3) მლნ ლარით, რაც პროგნოზირებული მთლიანი შიდა პროდუქტის (მშპ-ის) 2.5%-ს შეადგენს (დადგენილი ზღვარი – მშპ-ის 3%);</w:t>
      </w:r>
    </w:p>
    <w:p w:rsidR="00F27947" w:rsidRPr="00511B42" w:rsidRDefault="00F27947" w:rsidP="00F27947">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Theme="minorHAnsi" w:hAnsi="Sylfaen" w:cs="Sylfaen"/>
          <w:bCs/>
          <w:noProof/>
          <w:sz w:val="22"/>
          <w:szCs w:val="22"/>
          <w:lang w:val="ka-GE" w:eastAsia="en-US"/>
        </w:rPr>
      </w:pPr>
      <w:r w:rsidRPr="00511B42">
        <w:rPr>
          <w:rFonts w:ascii="Sylfaen" w:eastAsiaTheme="minorHAnsi" w:hAnsi="Sylfaen" w:cs="Sylfaen"/>
          <w:bCs/>
          <w:noProof/>
          <w:sz w:val="22"/>
          <w:szCs w:val="22"/>
          <w:lang w:val="ka-GE" w:eastAsia="en-US"/>
        </w:rPr>
        <w:t>2025 წლის ბოლოსთვის საქართველოს მთავრობის ვალის ზღვრული მოცულობა − მთლიანი შიდა პროდუქტის (მშპ-ის) 36.8%-ით,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(2025 წლის 31 დეკემბრის მდგომარეობით, წინასწარი მონაცემებით) − მთლიანი შიდა პროდუქტის (მშპ-ის) 0.03%-ით, რაც არ ახდენს გავლენას ჯამურ მაჩვენებელზე (დადგენილი ზღვარი – მშპ-ის 60%).</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511B42">
        <w:rPr>
          <w:rFonts w:ascii="Sylfaen" w:hAnsi="Sylfaen" w:cs="Sylfaen"/>
          <w:bCs/>
          <w:noProof/>
          <w:color w:val="FF0000"/>
          <w:sz w:val="22"/>
          <w:szCs w:val="22"/>
          <w:lang w:val="ka-GE"/>
        </w:rPr>
        <w:tab/>
      </w:r>
      <w:r w:rsidRPr="00511B42">
        <w:rPr>
          <w:rFonts w:ascii="Sylfaen" w:hAnsi="Sylfaen" w:cs="Sylfaen"/>
          <w:bCs/>
          <w:noProof/>
          <w:sz w:val="22"/>
          <w:szCs w:val="22"/>
          <w:lang w:val="ka-GE"/>
        </w:rPr>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202</w:t>
      </w:r>
      <w:r w:rsidRPr="00511B42">
        <w:rPr>
          <w:rFonts w:ascii="Sylfaen" w:hAnsi="Sylfaen" w:cs="Sylfaen"/>
          <w:bCs/>
          <w:noProof/>
          <w:sz w:val="22"/>
          <w:szCs w:val="22"/>
          <w:lang w:val="en-US"/>
        </w:rPr>
        <w:t>5</w:t>
      </w:r>
      <w:r w:rsidRPr="00511B42">
        <w:rPr>
          <w:rFonts w:ascii="Sylfaen" w:hAnsi="Sylfaen" w:cs="Sylfaen"/>
          <w:bCs/>
          <w:noProof/>
          <w:sz w:val="22"/>
          <w:szCs w:val="22"/>
          <w:lang w:val="ka-GE"/>
        </w:rPr>
        <w:t xml:space="preserve"> წელს (-2 </w:t>
      </w:r>
      <w:r w:rsidRPr="00511B42">
        <w:rPr>
          <w:rFonts w:ascii="Sylfaen" w:hAnsi="Sylfaen" w:cs="Sylfaen"/>
          <w:bCs/>
          <w:noProof/>
          <w:sz w:val="22"/>
          <w:szCs w:val="22"/>
          <w:lang w:val="en-US"/>
        </w:rPr>
        <w:t>410</w:t>
      </w:r>
      <w:r w:rsidRPr="00511B42">
        <w:rPr>
          <w:rFonts w:ascii="Sylfaen" w:hAnsi="Sylfaen" w:cs="Sylfaen"/>
          <w:bCs/>
          <w:noProof/>
          <w:sz w:val="22"/>
          <w:szCs w:val="22"/>
          <w:lang w:val="ka-GE"/>
        </w:rPr>
        <w:t>,0) მლნ ლარია და მშპ-ს 2,</w:t>
      </w:r>
      <w:r w:rsidRPr="00511B42">
        <w:rPr>
          <w:rFonts w:ascii="Sylfaen" w:hAnsi="Sylfaen" w:cs="Sylfaen"/>
          <w:bCs/>
          <w:noProof/>
          <w:sz w:val="22"/>
          <w:szCs w:val="22"/>
          <w:lang w:val="en-US"/>
        </w:rPr>
        <w:t>5</w:t>
      </w:r>
      <w:r w:rsidRPr="00511B42">
        <w:rPr>
          <w:rFonts w:ascii="Sylfaen" w:hAnsi="Sylfaen" w:cs="Sylfaen"/>
          <w:bCs/>
          <w:noProof/>
          <w:sz w:val="22"/>
          <w:szCs w:val="22"/>
          <w:lang w:val="ka-GE"/>
        </w:rPr>
        <w:t>%-ს შეადგენს.</w:t>
      </w:r>
    </w:p>
    <w:p w:rsidR="00F27947" w:rsidRPr="00511B42" w:rsidRDefault="00F27947" w:rsidP="00F27947">
      <w:pPr>
        <w:spacing w:line="276" w:lineRule="auto"/>
        <w:ind w:firstLine="720"/>
        <w:jc w:val="both"/>
        <w:rPr>
          <w:rFonts w:ascii="Sylfaen" w:hAnsi="Sylfaen" w:cs="Sylfaen"/>
          <w:lang w:val="ka-GE"/>
        </w:rPr>
      </w:pPr>
      <w:r w:rsidRPr="00511B42">
        <w:rPr>
          <w:rFonts w:ascii="Sylfaen" w:hAnsi="Sylfaen" w:cs="Sylfaen"/>
        </w:rPr>
        <w:t xml:space="preserve">2024 </w:t>
      </w:r>
      <w:r w:rsidRPr="00511B42">
        <w:rPr>
          <w:rFonts w:ascii="Sylfaen" w:hAnsi="Sylfaen" w:cs="Sylfaen"/>
          <w:lang w:val="ka-GE"/>
        </w:rPr>
        <w:t>წლის და 202</w:t>
      </w:r>
      <w:r w:rsidRPr="00511B42">
        <w:rPr>
          <w:rFonts w:ascii="Sylfaen" w:hAnsi="Sylfaen" w:cs="Sylfaen"/>
        </w:rPr>
        <w:t>5</w:t>
      </w:r>
      <w:r w:rsidRPr="00511B42">
        <w:rPr>
          <w:rFonts w:ascii="Sylfaen" w:hAnsi="Sylfaen" w:cs="Sylfaen"/>
          <w:lang w:val="ka-GE"/>
        </w:rPr>
        <w:t>-202</w:t>
      </w:r>
      <w:r w:rsidRPr="00511B42">
        <w:rPr>
          <w:rFonts w:ascii="Sylfaen" w:hAnsi="Sylfaen" w:cs="Sylfaen"/>
        </w:rPr>
        <w:t>8</w:t>
      </w:r>
      <w:r w:rsidRPr="00511B42">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მოდიფიცირებული დეფიციტის პროგნოზები მოცემულია №9 ცხრილში.</w:t>
      </w:r>
    </w:p>
    <w:p w:rsidR="00F27947" w:rsidRDefault="00F27947" w:rsidP="00F27947">
      <w:pPr>
        <w:spacing w:line="276" w:lineRule="auto"/>
        <w:ind w:firstLine="720"/>
        <w:jc w:val="both"/>
        <w:rPr>
          <w:rFonts w:ascii="Sylfaen" w:hAnsi="Sylfaen" w:cs="Sylfaen"/>
          <w:bCs/>
          <w:noProof/>
          <w:sz w:val="20"/>
          <w:lang w:val="ka-GE"/>
        </w:rPr>
      </w:pPr>
    </w:p>
    <w:p w:rsidR="00F27947" w:rsidRDefault="00F27947" w:rsidP="00F27947">
      <w:pPr>
        <w:rPr>
          <w:rFonts w:ascii="Sylfaen" w:hAnsi="Sylfaen" w:cs="Sylfaen"/>
          <w:bCs/>
          <w:noProof/>
          <w:sz w:val="20"/>
          <w:lang w:val="ka-GE"/>
        </w:rPr>
      </w:pPr>
      <w:r>
        <w:rPr>
          <w:rFonts w:ascii="Sylfaen" w:hAnsi="Sylfaen" w:cs="Sylfaen"/>
          <w:bCs/>
          <w:noProof/>
          <w:sz w:val="20"/>
          <w:lang w:val="ka-GE"/>
        </w:rPr>
        <w:br w:type="page"/>
      </w:r>
    </w:p>
    <w:p w:rsidR="00F27947" w:rsidRPr="00511B42" w:rsidRDefault="00F27947" w:rsidP="00F27947">
      <w:pPr>
        <w:ind w:firstLine="270"/>
        <w:rPr>
          <w:rFonts w:ascii="Sylfaen" w:hAnsi="Sylfaen" w:cs="Sylfaen"/>
          <w:b/>
          <w:bCs/>
          <w:noProof/>
          <w:lang w:val="ka-GE"/>
        </w:rPr>
      </w:pPr>
      <w:r w:rsidRPr="00511B42">
        <w:rPr>
          <w:rFonts w:ascii="Sylfaen" w:hAnsi="Sylfaen" w:cs="Sylfaen"/>
          <w:b/>
          <w:bCs/>
          <w:noProof/>
          <w:lang w:val="ka-GE"/>
        </w:rPr>
        <w:lastRenderedPageBreak/>
        <w:t>ცხრილი №9 - ბიუჯეტის დეფიციტის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511B42">
        <w:rPr>
          <w:rFonts w:ascii="Sylfaen" w:hAnsi="Sylfaen" w:cs="Sylfaen"/>
          <w:b/>
          <w:bCs/>
          <w:i/>
          <w:noProof/>
          <w:sz w:val="22"/>
          <w:szCs w:val="22"/>
          <w:lang w:val="ka-GE"/>
        </w:rPr>
        <w:t>ნაერთი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499" w:type="pct"/>
        <w:tblInd w:w="-572" w:type="dxa"/>
        <w:tblLook w:val="04A0" w:firstRow="1" w:lastRow="0" w:firstColumn="1" w:lastColumn="0" w:noHBand="0" w:noVBand="1"/>
      </w:tblPr>
      <w:tblGrid>
        <w:gridCol w:w="4110"/>
        <w:gridCol w:w="877"/>
        <w:gridCol w:w="877"/>
        <w:gridCol w:w="1101"/>
        <w:gridCol w:w="1101"/>
        <w:gridCol w:w="1101"/>
        <w:gridCol w:w="1101"/>
        <w:gridCol w:w="1101"/>
      </w:tblGrid>
      <w:tr w:rsidR="00F27947" w:rsidRPr="00511B42" w:rsidTr="009821BC">
        <w:trPr>
          <w:trHeight w:val="300"/>
        </w:trPr>
        <w:tc>
          <w:tcPr>
            <w:tcW w:w="1808"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Sylfaen"/>
                <w:b/>
                <w:bCs/>
                <w:sz w:val="18"/>
                <w:szCs w:val="20"/>
                <w:lang w:val="en-GB" w:eastAsia="en-GB"/>
              </w:rPr>
              <w:t>დასახელება</w:t>
            </w:r>
          </w:p>
        </w:tc>
        <w:tc>
          <w:tcPr>
            <w:tcW w:w="386"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2022</w:t>
            </w:r>
          </w:p>
        </w:tc>
        <w:tc>
          <w:tcPr>
            <w:tcW w:w="386"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2023</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2024</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2025</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2026</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2027</w:t>
            </w:r>
          </w:p>
        </w:tc>
        <w:tc>
          <w:tcPr>
            <w:tcW w:w="484"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2028</w:t>
            </w:r>
          </w:p>
        </w:tc>
      </w:tr>
      <w:tr w:rsidR="00F27947" w:rsidRPr="00511B42" w:rsidTr="009821BC">
        <w:trPr>
          <w:trHeight w:val="390"/>
        </w:trPr>
        <w:tc>
          <w:tcPr>
            <w:tcW w:w="1808"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rPr>
                <w:rFonts w:ascii="Sylfaen" w:eastAsia="Times New Roman" w:hAnsi="Sylfaen" w:cs="Arial"/>
                <w:b/>
                <w:bCs/>
                <w:sz w:val="18"/>
                <w:szCs w:val="20"/>
                <w:lang w:val="en-GB" w:eastAsia="en-GB"/>
              </w:rPr>
            </w:pP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38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84"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ნაერთი ბიუჯეტის მთლიანი სალდო</w:t>
            </w:r>
          </w:p>
        </w:tc>
        <w:tc>
          <w:tcPr>
            <w:tcW w:w="386"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386" w:type="pct"/>
            <w:tcBorders>
              <w:top w:val="single" w:sz="4" w:space="0" w:color="BDD7EE"/>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-2 777.0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-1 929.0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-2 011.0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-2 381.0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-1 898.0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-2 093.0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-1 766.0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-2 090.0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-2 292.0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-1 766.0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-1 888.3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-2 241.0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-2 416.0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-2 597.0</w:t>
            </w:r>
          </w:p>
        </w:tc>
      </w:tr>
      <w:tr w:rsidR="00F27947" w:rsidRPr="00511B42" w:rsidTr="009821BC">
        <w:trPr>
          <w:trHeight w:val="270"/>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-1 771.1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-1 888.8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-2 235.0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-2 331.0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-2 530.0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-2 655.0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-2 760.0</w:t>
            </w:r>
          </w:p>
        </w:tc>
      </w:tr>
      <w:tr w:rsidR="00F27947" w:rsidRPr="00511B42" w:rsidTr="009821BC">
        <w:trPr>
          <w:trHeight w:val="360"/>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მოდიფიცირებული დეფიციტი (IMF პროგრამა)</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-2 852.0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-2 079.0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-2 049.0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-2 049.0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-2 251.0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-2 018.0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-2 168.0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-2 213.0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-2 187.0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-2 178.0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-2 220.0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-2 427.0</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-1 976.9</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-2 187.0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-2 341.0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-2 516.0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-2 697.0</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-2 208.1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-1 977.5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-2 215.0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-2 510.0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-2 635.0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-2 740.0</w:t>
            </w:r>
          </w:p>
        </w:tc>
      </w:tr>
      <w:tr w:rsidR="00F27947" w:rsidRPr="00511B42" w:rsidTr="009821BC">
        <w:trPr>
          <w:trHeight w:val="300"/>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 მშპ-თან</w:t>
            </w:r>
          </w:p>
        </w:tc>
      </w:tr>
      <w:tr w:rsidR="00F27947" w:rsidRPr="00511B42" w:rsidTr="009821BC">
        <w:trPr>
          <w:trHeight w:val="300"/>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ნაერთი ბიუჯეტის მთლიანი სალდო</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-4.4%</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315"/>
        </w:trPr>
        <w:tc>
          <w:tcPr>
            <w:tcW w:w="1808"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მოდიფიცირებული დეფიციტი (IMF პროგრამა)</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386"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-4.4%</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-3.1%</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4"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trHeight w:val="25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r w:rsidR="00F27947" w:rsidRPr="00511B42" w:rsidTr="009821BC">
        <w:trPr>
          <w:trHeight w:val="285"/>
        </w:trPr>
        <w:tc>
          <w:tcPr>
            <w:tcW w:w="1808"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386"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4"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rPr>
          <w:rFonts w:ascii="Sylfaen" w:eastAsia="Times New Roman" w:hAnsi="Sylfaen" w:cs="Sylfaen"/>
          <w:b/>
          <w:bCs/>
          <w:noProof/>
          <w:sz w:val="16"/>
          <w:lang w:val="ka-GE" w:eastAsia="ru-RU"/>
        </w:rPr>
      </w:pPr>
      <w:r w:rsidRPr="00511B42">
        <w:rPr>
          <w:rFonts w:ascii="Sylfaen" w:hAnsi="Sylfaen" w:cs="Sylfaen"/>
          <w:b/>
          <w:bCs/>
          <w:noProof/>
          <w:sz w:val="16"/>
          <w:lang w:val="ka-GE"/>
        </w:rPr>
        <w:br w:type="page"/>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511B42">
        <w:rPr>
          <w:rFonts w:ascii="Sylfaen" w:hAnsi="Sylfaen" w:cs="Sylfaen"/>
          <w:b/>
          <w:bCs/>
          <w:i/>
          <w:noProof/>
          <w:sz w:val="22"/>
          <w:szCs w:val="22"/>
          <w:lang w:val="ka-GE"/>
        </w:rPr>
        <w:t>სახელმწიფოს ერთიანი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541" w:type="pct"/>
        <w:tblInd w:w="-572" w:type="dxa"/>
        <w:tblLook w:val="04A0" w:firstRow="1" w:lastRow="0" w:firstColumn="1" w:lastColumn="0" w:noHBand="0" w:noVBand="1"/>
      </w:tblPr>
      <w:tblGrid>
        <w:gridCol w:w="4109"/>
        <w:gridCol w:w="918"/>
        <w:gridCol w:w="921"/>
        <w:gridCol w:w="1100"/>
        <w:gridCol w:w="1100"/>
        <w:gridCol w:w="1100"/>
        <w:gridCol w:w="1100"/>
        <w:gridCol w:w="1100"/>
        <w:gridCol w:w="7"/>
      </w:tblGrid>
      <w:tr w:rsidR="00F27947" w:rsidRPr="00511B42" w:rsidTr="009821BC">
        <w:trPr>
          <w:gridAfter w:val="1"/>
          <w:wAfter w:w="3" w:type="pct"/>
          <w:trHeight w:val="330"/>
          <w:tblHeader/>
        </w:trPr>
        <w:tc>
          <w:tcPr>
            <w:tcW w:w="1794"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Sylfaen"/>
                <w:b/>
                <w:bCs/>
                <w:sz w:val="18"/>
                <w:szCs w:val="20"/>
                <w:lang w:val="en-GB" w:eastAsia="en-GB"/>
              </w:rPr>
              <w:t>დასახელება</w:t>
            </w:r>
          </w:p>
        </w:tc>
        <w:tc>
          <w:tcPr>
            <w:tcW w:w="401"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2022</w:t>
            </w:r>
          </w:p>
        </w:tc>
        <w:tc>
          <w:tcPr>
            <w:tcW w:w="402"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2023</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2024</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2025</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2026</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2027</w:t>
            </w:r>
          </w:p>
        </w:tc>
        <w:tc>
          <w:tcPr>
            <w:tcW w:w="480" w:type="pct"/>
            <w:tcBorders>
              <w:top w:val="single" w:sz="4" w:space="0" w:color="BDD7EE"/>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2028</w:t>
            </w:r>
          </w:p>
        </w:tc>
      </w:tr>
      <w:tr w:rsidR="00F27947" w:rsidRPr="00511B42" w:rsidTr="009821BC">
        <w:trPr>
          <w:gridAfter w:val="1"/>
          <w:wAfter w:w="3" w:type="pct"/>
          <w:trHeight w:val="285"/>
          <w:tblHeader/>
        </w:trPr>
        <w:tc>
          <w:tcPr>
            <w:tcW w:w="1794" w:type="pct"/>
            <w:vMerge/>
            <w:tcBorders>
              <w:top w:val="single" w:sz="4" w:space="0" w:color="BDD7EE"/>
              <w:left w:val="single" w:sz="4" w:space="0" w:color="BDD7EE"/>
              <w:bottom w:val="single" w:sz="4" w:space="0" w:color="BDD7EE"/>
              <w:right w:val="single" w:sz="4" w:space="0" w:color="BDD7EE"/>
            </w:tcBorders>
            <w:vAlign w:val="center"/>
            <w:hideMark/>
          </w:tcPr>
          <w:p w:rsidR="00F27947" w:rsidRPr="00511B42" w:rsidRDefault="00F27947" w:rsidP="009821BC">
            <w:pPr>
              <w:spacing w:after="0" w:line="240" w:lineRule="auto"/>
              <w:rPr>
                <w:rFonts w:ascii="Sylfaen" w:eastAsia="Times New Roman" w:hAnsi="Sylfaen" w:cs="Arial"/>
                <w:b/>
                <w:bCs/>
                <w:sz w:val="18"/>
                <w:szCs w:val="20"/>
                <w:lang w:val="en-GB" w:eastAsia="en-GB"/>
              </w:rPr>
            </w:pP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0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ფაქტი</w:t>
            </w:r>
          </w:p>
        </w:tc>
        <w:tc>
          <w:tcPr>
            <w:tcW w:w="480" w:type="pct"/>
            <w:tcBorders>
              <w:top w:val="nil"/>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18"/>
                <w:lang w:val="en-GB" w:eastAsia="en-GB"/>
              </w:rPr>
            </w:pPr>
            <w:r w:rsidRPr="00511B42">
              <w:rPr>
                <w:rFonts w:ascii="Sylfaen" w:eastAsia="Times New Roman" w:hAnsi="Sylfaen" w:cs="Sylfaen"/>
                <w:b/>
                <w:bCs/>
                <w:sz w:val="18"/>
                <w:szCs w:val="18"/>
                <w:lang w:val="en-GB" w:eastAsia="en-GB"/>
              </w:rPr>
              <w:t>პროგნოზი</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მთლიანი სალდო</w:t>
            </w:r>
          </w:p>
        </w:tc>
        <w:tc>
          <w:tcPr>
            <w:tcW w:w="401"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02" w:type="pct"/>
            <w:tcBorders>
              <w:top w:val="single" w:sz="4" w:space="0" w:color="BDD7EE"/>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gridAfter w:val="1"/>
          <w:wAfter w:w="3" w:type="pct"/>
          <w:trHeight w:val="33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-2 750.0</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-1 940.0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-1 923.0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-1 959.0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5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-1 963.0</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-2 261.0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-1 868.0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-2 083.0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-2 153.0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-2 346.0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-2 177.0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-2 158.0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-2 167.0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-2 396.0</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31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-1 786.3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-2 059.6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-1 951.4</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-2 030.4</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-2 255.1</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-2 427.3</w:t>
            </w:r>
          </w:p>
        </w:tc>
      </w:tr>
      <w:tr w:rsidR="00F27947" w:rsidRPr="00511B42" w:rsidTr="009821BC">
        <w:trPr>
          <w:gridAfter w:val="1"/>
          <w:wAfter w:w="3" w:type="pct"/>
          <w:trHeight w:val="22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-1 600.5</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-1 781.8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-2 265.0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-2 440.3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-2 735.0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-3 015.0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-3 230.0</w:t>
            </w:r>
          </w:p>
        </w:tc>
      </w:tr>
      <w:tr w:rsidR="00F27947" w:rsidRPr="00511B42" w:rsidTr="009821BC">
        <w:trPr>
          <w:trHeight w:val="300"/>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b/>
                <w:bCs/>
                <w:sz w:val="18"/>
                <w:szCs w:val="20"/>
                <w:lang w:val="en-GB" w:eastAsia="en-GB"/>
              </w:rPr>
            </w:pPr>
            <w:r w:rsidRPr="00511B42">
              <w:rPr>
                <w:rFonts w:ascii="Sylfaen" w:eastAsia="Times New Roman" w:hAnsi="Sylfaen" w:cs="Arial"/>
                <w:b/>
                <w:bCs/>
                <w:sz w:val="18"/>
                <w:szCs w:val="20"/>
                <w:lang w:val="en-GB" w:eastAsia="en-GB"/>
              </w:rPr>
              <w:t>% მშპ-თან</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მთლიანი სალდო</w:t>
            </w:r>
          </w:p>
        </w:tc>
        <w:tc>
          <w:tcPr>
            <w:tcW w:w="401"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02"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vAlign w:val="center"/>
            <w:hideMark/>
          </w:tcPr>
          <w:p w:rsidR="00F27947" w:rsidRPr="00511B42" w:rsidRDefault="00F27947" w:rsidP="009821BC">
            <w:pPr>
              <w:spacing w:after="0" w:line="240" w:lineRule="auto"/>
              <w:rPr>
                <w:rFonts w:ascii="Sylfaen" w:eastAsia="Times New Roman" w:hAnsi="Sylfaen" w:cs="Arial"/>
                <w:b/>
                <w:bCs/>
                <w:sz w:val="18"/>
                <w:szCs w:val="18"/>
                <w:lang w:val="en-GB" w:eastAsia="en-GB"/>
              </w:rPr>
            </w:pPr>
            <w:r w:rsidRPr="00511B42">
              <w:rPr>
                <w:rFonts w:ascii="Sylfaen" w:eastAsia="Times New Roman" w:hAnsi="Sylfaen" w:cs="Arial"/>
                <w:b/>
                <w:bCs/>
                <w:sz w:val="18"/>
                <w:szCs w:val="18"/>
                <w:lang w:val="en-GB" w:eastAsia="en-GB"/>
              </w:rPr>
              <w:t> </w:t>
            </w:r>
          </w:p>
        </w:tc>
      </w:tr>
      <w:tr w:rsidR="00F27947" w:rsidRPr="00511B42" w:rsidTr="009821BC">
        <w:trPr>
          <w:gridAfter w:val="1"/>
          <w:wAfter w:w="3" w:type="pct"/>
          <w:trHeight w:val="33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2022-2025 (2021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-4.2%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-2.4%</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8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2023-2026 (2022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-2.7%</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-2.8%</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-2.1%</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55"/>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2024-2027 (2023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დეკემბერი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-3.0%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000000" w:fill="D9E1F2"/>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w:t>
            </w:r>
          </w:p>
        </w:tc>
      </w:tr>
      <w:tr w:rsidR="00F27947" w:rsidRPr="00511B42" w:rsidTr="009821BC">
        <w:trPr>
          <w:gridAfter w:val="1"/>
          <w:wAfter w:w="3" w:type="pct"/>
          <w:trHeight w:val="27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ივლისი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-2.3%</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-2.1%</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-2.0%</w:t>
            </w:r>
          </w:p>
        </w:tc>
      </w:tr>
      <w:tr w:rsidR="00F27947" w:rsidRPr="00511B42" w:rsidTr="009821BC">
        <w:trPr>
          <w:gridAfter w:val="1"/>
          <w:wAfter w:w="3" w:type="pct"/>
          <w:trHeight w:val="300"/>
        </w:trPr>
        <w:tc>
          <w:tcPr>
            <w:tcW w:w="1794" w:type="pct"/>
            <w:tcBorders>
              <w:top w:val="nil"/>
              <w:left w:val="single" w:sz="4" w:space="0" w:color="BDD7EE"/>
              <w:bottom w:val="single" w:sz="4" w:space="0" w:color="BDD7EE"/>
              <w:right w:val="single" w:sz="4" w:space="0" w:color="BDD7EE"/>
            </w:tcBorders>
            <w:shd w:val="clear" w:color="auto" w:fill="auto"/>
            <w:vAlign w:val="center"/>
            <w:hideMark/>
          </w:tcPr>
          <w:p w:rsidR="00F27947" w:rsidRPr="00511B42" w:rsidRDefault="00F27947" w:rsidP="009821BC">
            <w:pPr>
              <w:spacing w:after="0" w:line="240" w:lineRule="auto"/>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 xml:space="preserve">2025-2028 (2024 </w:t>
            </w:r>
            <w:r w:rsidRPr="00511B42">
              <w:rPr>
                <w:rFonts w:ascii="Sylfaen" w:eastAsia="Times New Roman" w:hAnsi="Sylfaen" w:cs="Sylfaen"/>
                <w:sz w:val="18"/>
                <w:szCs w:val="18"/>
                <w:lang w:val="en-GB" w:eastAsia="en-GB"/>
              </w:rPr>
              <w:t>წლის</w:t>
            </w:r>
            <w:r w:rsidRPr="00511B42">
              <w:rPr>
                <w:rFonts w:ascii="Sylfaen" w:eastAsia="Times New Roman" w:hAnsi="Sylfaen" w:cs="Arial"/>
                <w:sz w:val="18"/>
                <w:szCs w:val="18"/>
                <w:lang w:val="en-GB" w:eastAsia="en-GB"/>
              </w:rPr>
              <w:t xml:space="preserve"> </w:t>
            </w:r>
            <w:r w:rsidRPr="00511B42">
              <w:rPr>
                <w:rFonts w:ascii="Sylfaen" w:eastAsia="Times New Roman" w:hAnsi="Sylfaen" w:cs="Sylfaen"/>
                <w:sz w:val="18"/>
                <w:szCs w:val="18"/>
                <w:lang w:val="en-GB" w:eastAsia="en-GB"/>
              </w:rPr>
              <w:t>სექტემბერი</w:t>
            </w:r>
            <w:r w:rsidRPr="00511B42">
              <w:rPr>
                <w:rFonts w:ascii="Sylfaen" w:eastAsia="Times New Roman" w:hAnsi="Sylfaen" w:cs="Arial"/>
                <w:sz w:val="18"/>
                <w:szCs w:val="18"/>
                <w:lang w:val="en-GB" w:eastAsia="en-GB"/>
              </w:rPr>
              <w:t>)</w:t>
            </w:r>
          </w:p>
        </w:tc>
        <w:tc>
          <w:tcPr>
            <w:tcW w:w="401"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02"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-2.2%</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-2.5%</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c>
          <w:tcPr>
            <w:tcW w:w="480" w:type="pct"/>
            <w:tcBorders>
              <w:top w:val="nil"/>
              <w:left w:val="nil"/>
              <w:bottom w:val="single" w:sz="4" w:space="0" w:color="BDD7EE"/>
              <w:right w:val="single" w:sz="4" w:space="0" w:color="BDD7EE"/>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Arial"/>
                <w:sz w:val="18"/>
                <w:szCs w:val="18"/>
                <w:lang w:val="en-GB" w:eastAsia="en-GB"/>
              </w:rPr>
            </w:pPr>
            <w:r w:rsidRPr="00511B42">
              <w:rPr>
                <w:rFonts w:ascii="Sylfaen" w:eastAsia="Times New Roman" w:hAnsi="Sylfaen" w:cs="Arial"/>
                <w:sz w:val="18"/>
                <w:szCs w:val="18"/>
                <w:lang w:val="en-GB" w:eastAsia="en-GB"/>
              </w:rPr>
              <w:t>-2.6%</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rPr>
          <w:rFonts w:ascii="Sylfaen" w:hAnsi="Sylfaen" w:cs="Sylfaen"/>
          <w:b/>
          <w:lang w:val="ka-GE"/>
        </w:rPr>
      </w:pPr>
      <w:bookmarkStart w:id="4" w:name="_Toc89118363"/>
      <w:r w:rsidRPr="00511B42">
        <w:rPr>
          <w:rFonts w:ascii="Sylfaen" w:hAnsi="Sylfaen" w:cs="Sylfaen"/>
          <w:b/>
          <w:lang w:val="ka-GE"/>
        </w:rPr>
        <w:br w:type="page"/>
      </w:r>
    </w:p>
    <w:p w:rsidR="00F27947" w:rsidRPr="00511B42" w:rsidRDefault="00F27947" w:rsidP="00F27947">
      <w:pPr>
        <w:pStyle w:val="Heading3"/>
        <w:ind w:firstLine="720"/>
        <w:rPr>
          <w:rFonts w:ascii="Sylfaen" w:hAnsi="Sylfaen"/>
          <w:b/>
          <w:lang w:val="ka-GE"/>
        </w:rPr>
      </w:pPr>
      <w:r w:rsidRPr="00511B42">
        <w:rPr>
          <w:rFonts w:ascii="Sylfaen" w:hAnsi="Sylfaen"/>
          <w:b/>
          <w:lang w:val="ka-GE"/>
        </w:rPr>
        <w:lastRenderedPageBreak/>
        <w:t>მთავრობის ვალი</w:t>
      </w:r>
      <w:bookmarkEnd w:id="4"/>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4477A4" w:rsidRDefault="00F27947" w:rsidP="00F27947">
      <w:pPr>
        <w:pStyle w:val="NoSpacing"/>
        <w:spacing w:line="276" w:lineRule="auto"/>
        <w:ind w:firstLine="720"/>
        <w:jc w:val="both"/>
        <w:rPr>
          <w:rFonts w:ascii="Sylfaen" w:hAnsi="Sylfaen"/>
          <w:lang w:val="ka-GE"/>
        </w:rPr>
      </w:pPr>
      <w:r w:rsidRPr="004477A4">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მთლიანი შიდა პროდუქტის რეალური ზრდის მოსალოდნელი მნიშვნელობების 2024 წელს 8.2%-მდე, ხოლო 2025-ში 5.5%-მდე ზრდით. 2025 წლის ბოლოსთვის მოსალოდნელია მთავრობის ვალის მშპ-თან ფარდობის მაჩვენებლის შემცირება 36.8%-მდე. აღნიშნული მაჩვენებლის კლება პროგნოზირებულია შემდეგ წლებშიც და 2028 წლის ბოლომდე 34.6%-მდე შემცირდება.</w:t>
      </w:r>
    </w:p>
    <w:p w:rsidR="00F27947" w:rsidRPr="004477A4" w:rsidRDefault="00F27947" w:rsidP="00F27947">
      <w:pPr>
        <w:pStyle w:val="NoSpacing"/>
        <w:spacing w:line="276" w:lineRule="auto"/>
        <w:ind w:firstLine="720"/>
        <w:jc w:val="both"/>
        <w:rPr>
          <w:rFonts w:ascii="Sylfaen" w:hAnsi="Sylfaen"/>
          <w:b/>
        </w:rPr>
      </w:pPr>
      <w:r w:rsidRPr="004477A4">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(2024 წლისთვის - 69.6%),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w:t>
      </w:r>
      <w:r w:rsidRPr="004477A4">
        <w:rPr>
          <w:rFonts w:ascii="Sylfaen" w:hAnsi="Sylfaen"/>
        </w:rPr>
        <w:t>4</w:t>
      </w:r>
      <w:r w:rsidRPr="004477A4">
        <w:rPr>
          <w:rFonts w:ascii="Sylfaen" w:hAnsi="Sylfaen"/>
          <w:lang w:val="ka-GE"/>
        </w:rPr>
        <w:t>-202</w:t>
      </w:r>
      <w:r w:rsidRPr="004477A4">
        <w:rPr>
          <w:rFonts w:ascii="Sylfaen" w:hAnsi="Sylfaen"/>
        </w:rPr>
        <w:t>7</w:t>
      </w:r>
      <w:r w:rsidRPr="004477A4">
        <w:rPr>
          <w:rFonts w:ascii="Sylfaen" w:hAnsi="Sylfaen"/>
          <w:lang w:val="ka-GE"/>
        </w:rPr>
        <w:t xml:space="preserve"> (</w:t>
      </w:r>
      <w:hyperlink r:id="rId8" w:history="1">
        <w:r w:rsidRPr="004477A4">
          <w:rPr>
            <w:rStyle w:val="Hyperlink"/>
            <w:rFonts w:ascii="Sylfaen" w:hAnsi="Sylfaen"/>
          </w:rPr>
          <w:t>https://mof.ge/5231</w:t>
        </w:r>
      </w:hyperlink>
      <w:r w:rsidRPr="004477A4">
        <w:rPr>
          <w:rFonts w:ascii="Sylfaen" w:hAnsi="Sylfaen"/>
          <w:lang w:val="ka-GE"/>
        </w:rPr>
        <w:t>)</w:t>
      </w:r>
      <w:r w:rsidRPr="004477A4">
        <w:rPr>
          <w:rFonts w:ascii="Sylfaen" w:hAnsi="Sylfaen"/>
        </w:rPr>
        <w:t xml:space="preserve"> </w:t>
      </w:r>
      <w:r w:rsidRPr="004477A4">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p>
    <w:p w:rsidR="00F27947" w:rsidRPr="004477A4" w:rsidRDefault="00F27947" w:rsidP="00F27947">
      <w:pPr>
        <w:spacing w:after="0" w:line="276" w:lineRule="auto"/>
        <w:ind w:firstLine="720"/>
        <w:jc w:val="both"/>
        <w:rPr>
          <w:rFonts w:ascii="Sylfaen" w:hAnsi="Sylfaen" w:cs="Sylfaen"/>
          <w:lang w:val="ka-GE"/>
        </w:rPr>
      </w:pPr>
      <w:r w:rsidRPr="004477A4">
        <w:rPr>
          <w:rFonts w:ascii="Sylfaen" w:hAnsi="Sylfaen" w:cs="Sylfaen"/>
          <w:lang w:val="ka-GE"/>
        </w:rPr>
        <w:t>ქვემოთ მოცემულ ცხრილში (ცხრილი №10) წარმოდგენილია მთავრობის ვალის პროგნოზები 2025-2028 წლებისთვის:</w:t>
      </w: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w:t>
      </w:r>
      <w:r w:rsidRPr="00511B42">
        <w:rPr>
          <w:rFonts w:ascii="Sylfaen" w:hAnsi="Sylfaen" w:cs="Sylfaen"/>
          <w:b/>
          <w:bCs/>
          <w:noProof/>
          <w:sz w:val="20"/>
          <w:szCs w:val="22"/>
          <w:lang w:val="en-US"/>
        </w:rPr>
        <w:t>10</w:t>
      </w:r>
      <w:r w:rsidRPr="00511B42">
        <w:rPr>
          <w:rFonts w:ascii="Sylfaen" w:hAnsi="Sylfaen" w:cs="Sylfaen"/>
          <w:b/>
          <w:bCs/>
          <w:noProof/>
          <w:sz w:val="20"/>
          <w:szCs w:val="22"/>
          <w:lang w:val="ka-GE"/>
        </w:rPr>
        <w:t xml:space="preserve"> - მთავრობის ვალის მოცულობების პროგნოზების შედარება</w:t>
      </w:r>
    </w:p>
    <w:p w:rsidR="00F27947" w:rsidRPr="00511B42" w:rsidRDefault="00F27947" w:rsidP="00F27947">
      <w:pPr>
        <w:pStyle w:val="NoSpacing"/>
        <w:spacing w:line="276" w:lineRule="auto"/>
        <w:ind w:firstLine="720"/>
        <w:jc w:val="right"/>
        <w:rPr>
          <w:rFonts w:ascii="Sylfaen" w:hAnsi="Sylfaen"/>
          <w:highlight w:val="yellow"/>
          <w:lang w:val="ka-GE"/>
        </w:rPr>
      </w:pPr>
      <w:r w:rsidRPr="00511B42">
        <w:rPr>
          <w:rFonts w:ascii="Sylfaen" w:eastAsia="Times New Roman" w:hAnsi="Sylfaen" w:cs="Arial"/>
          <w:b/>
          <w:bCs/>
          <w:color w:val="000000"/>
          <w:sz w:val="18"/>
          <w:szCs w:val="18"/>
        </w:rPr>
        <w:t>(მლნ ლარი)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67"/>
        <w:gridCol w:w="767"/>
        <w:gridCol w:w="767"/>
        <w:gridCol w:w="767"/>
        <w:gridCol w:w="767"/>
        <w:gridCol w:w="767"/>
        <w:gridCol w:w="767"/>
        <w:gridCol w:w="757"/>
        <w:gridCol w:w="711"/>
      </w:tblGrid>
      <w:tr w:rsidR="00F27947" w:rsidRPr="00511B42" w:rsidTr="009821BC">
        <w:trPr>
          <w:trHeight w:val="577"/>
          <w:tblHeader/>
          <w:jc w:val="center"/>
        </w:trPr>
        <w:tc>
          <w:tcPr>
            <w:tcW w:w="2064"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 xml:space="preserve">მთავრობის ვალი </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2021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rPr>
              <w:t>2022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2023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2024 წელი</w:t>
            </w:r>
          </w:p>
        </w:tc>
        <w:tc>
          <w:tcPr>
            <w:tcW w:w="371" w:type="pct"/>
            <w:shd w:val="clear" w:color="auto" w:fill="D9E2F3" w:themeFill="accent5" w:themeFillTint="33"/>
            <w:vAlign w:val="center"/>
            <w:hideMark/>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2025 წელი</w:t>
            </w:r>
          </w:p>
        </w:tc>
        <w:tc>
          <w:tcPr>
            <w:tcW w:w="371"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2026 წელი</w:t>
            </w:r>
          </w:p>
        </w:tc>
        <w:tc>
          <w:tcPr>
            <w:tcW w:w="366"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2027 წელი</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w:t>
            </w:r>
            <w:r w:rsidRPr="00511B42">
              <w:rPr>
                <w:rFonts w:ascii="Sylfaen" w:eastAsia="Times New Roman" w:hAnsi="Sylfaen" w:cs="Arial"/>
                <w:b/>
                <w:bCs/>
                <w:color w:val="000000"/>
                <w:sz w:val="18"/>
                <w:szCs w:val="18"/>
              </w:rPr>
              <w:t>8</w:t>
            </w:r>
            <w:r w:rsidRPr="00511B42">
              <w:rPr>
                <w:rFonts w:ascii="Sylfaen" w:eastAsia="Times New Roman" w:hAnsi="Sylfaen" w:cs="Arial"/>
                <w:b/>
                <w:bCs/>
                <w:color w:val="000000"/>
                <w:sz w:val="18"/>
                <w:szCs w:val="18"/>
                <w:lang w:val="ka-GE"/>
              </w:rPr>
              <w:t xml:space="preserve"> წელი</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2022-2025 წლები (2021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lang w:val="ka-GE"/>
              </w:rPr>
            </w:pPr>
            <w:r w:rsidRPr="00511B42">
              <w:rPr>
                <w:rFonts w:ascii="Sylfaen" w:eastAsia="Times New Roman" w:hAnsi="Sylfaen" w:cs="Arial"/>
                <w:sz w:val="18"/>
                <w:szCs w:val="20"/>
              </w:rPr>
              <w:t>29,905</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33,123</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35,348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37,413</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39,417</w:t>
            </w:r>
          </w:p>
        </w:tc>
        <w:tc>
          <w:tcPr>
            <w:tcW w:w="371"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49</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47.7%</w:t>
            </w:r>
          </w:p>
        </w:tc>
        <w:tc>
          <w:tcPr>
            <w:tcW w:w="371"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r>
      <w:tr w:rsidR="00F27947" w:rsidRPr="00511B42" w:rsidTr="009821BC">
        <w:trPr>
          <w:trHeight w:val="277"/>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2023-2026 წლები (2022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29,812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28,609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30,539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32,679 </w:t>
            </w:r>
          </w:p>
        </w:tc>
        <w:tc>
          <w:tcPr>
            <w:tcW w:w="371" w:type="pct"/>
            <w:shd w:val="clear" w:color="auto" w:fill="auto"/>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34,799 </w:t>
            </w:r>
          </w:p>
        </w:tc>
        <w:tc>
          <w:tcPr>
            <w:tcW w:w="371" w:type="pct"/>
            <w:vAlign w:val="bottom"/>
          </w:tcPr>
          <w:p w:rsidR="00F27947" w:rsidRPr="00511B42" w:rsidRDefault="00F27947" w:rsidP="009821BC">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36,819 </w:t>
            </w:r>
          </w:p>
        </w:tc>
        <w:tc>
          <w:tcPr>
            <w:tcW w:w="366" w:type="pct"/>
            <w:shd w:val="clear" w:color="auto" w:fill="D9E2F3" w:themeFill="accent5" w:themeFillTint="33"/>
          </w:tcPr>
          <w:p w:rsidR="00F27947" w:rsidRPr="00511B42" w:rsidRDefault="00F27947" w:rsidP="009821BC">
            <w:pPr>
              <w:spacing w:after="0" w:line="240" w:lineRule="auto"/>
              <w:rPr>
                <w:rFonts w:ascii="Sylfaen" w:eastAsia="Times New Roman" w:hAnsi="Sylfaen" w:cs="Arial"/>
                <w:sz w:val="18"/>
                <w:szCs w:val="20"/>
              </w:rPr>
            </w:pPr>
          </w:p>
        </w:tc>
        <w:tc>
          <w:tcPr>
            <w:tcW w:w="344" w:type="pct"/>
            <w:shd w:val="clear" w:color="auto" w:fill="D9E2F3" w:themeFill="accent5" w:themeFillTint="33"/>
          </w:tcPr>
          <w:p w:rsidR="00F27947" w:rsidRPr="00511B42" w:rsidRDefault="00F27947" w:rsidP="009821BC">
            <w:pPr>
              <w:spacing w:after="0" w:line="240" w:lineRule="auto"/>
              <w:rPr>
                <w:rFonts w:ascii="Sylfaen" w:eastAsia="Times New Roman" w:hAnsi="Sylfaen" w:cs="Arial"/>
                <w:sz w:val="18"/>
                <w:szCs w:val="20"/>
              </w:rPr>
            </w:pPr>
          </w:p>
        </w:tc>
      </w:tr>
      <w:tr w:rsidR="00F27947" w:rsidRPr="00511B42" w:rsidTr="009821BC">
        <w:trPr>
          <w:trHeight w:val="277"/>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39.6%</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38.3%</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37.8%</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37.2%</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36.4%</w:t>
            </w:r>
          </w:p>
        </w:tc>
        <w:tc>
          <w:tcPr>
            <w:tcW w:w="366"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 xml:space="preserve">2024-2027 წლები (2023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30,291</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32,711</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35,150</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37,783</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40,368</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w:t>
            </w:r>
            <w:r w:rsidRPr="00511B42">
              <w:rPr>
                <w:rFonts w:ascii="Sylfaen" w:eastAsia="Times New Roman" w:hAnsi="Sylfaen" w:cs="Arial"/>
                <w:i/>
                <w:color w:val="000000"/>
                <w:sz w:val="18"/>
                <w:szCs w:val="18"/>
              </w:rPr>
              <w:t>5</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2</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rPr>
              <w:t>37.8</w:t>
            </w:r>
            <w:r w:rsidRPr="00511B42">
              <w:rPr>
                <w:rFonts w:ascii="Sylfaen" w:eastAsia="Times New Roman" w:hAnsi="Sylfaen" w:cs="Arial"/>
                <w:i/>
                <w:color w:val="000000"/>
                <w:sz w:val="18"/>
                <w:szCs w:val="18"/>
                <w:lang w:val="ka-GE"/>
              </w:rPr>
              <w:t>%</w:t>
            </w:r>
          </w:p>
        </w:tc>
        <w:tc>
          <w:tcPr>
            <w:tcW w:w="371" w:type="pct"/>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6</w:t>
            </w:r>
            <w:r w:rsidRPr="00511B42">
              <w:rPr>
                <w:rFonts w:ascii="Sylfaen" w:eastAsia="Times New Roman" w:hAnsi="Sylfaen" w:cs="Arial"/>
                <w:i/>
                <w:color w:val="000000"/>
                <w:sz w:val="18"/>
                <w:szCs w:val="18"/>
                <w:lang w:val="ka-GE"/>
              </w:rPr>
              <w:t>%</w:t>
            </w:r>
          </w:p>
        </w:tc>
        <w:tc>
          <w:tcPr>
            <w:tcW w:w="366" w:type="pct"/>
            <w:vAlign w:val="center"/>
          </w:tcPr>
          <w:p w:rsidR="00F27947" w:rsidRPr="00511B42" w:rsidRDefault="00F27947" w:rsidP="009821BC">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44" w:type="pct"/>
            <w:shd w:val="clear" w:color="auto" w:fill="D9E2F3" w:themeFill="accent5" w:themeFillTint="33"/>
            <w:vAlign w:val="center"/>
          </w:tcPr>
          <w:p w:rsidR="00F27947" w:rsidRPr="00511B42" w:rsidRDefault="00F27947" w:rsidP="009821BC">
            <w:pPr>
              <w:spacing w:after="0" w:line="240" w:lineRule="auto"/>
              <w:jc w:val="center"/>
              <w:rPr>
                <w:rFonts w:ascii="Sylfaen" w:eastAsia="Times New Roman" w:hAnsi="Sylfaen" w:cs="Arial"/>
                <w:sz w:val="18"/>
                <w:szCs w:val="20"/>
              </w:rPr>
            </w:pP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ივლისი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33,694</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35,872</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38,348</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40,946</w:t>
            </w:r>
          </w:p>
        </w:tc>
        <w:tc>
          <w:tcPr>
            <w:tcW w:w="344"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43,575</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39.8%</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38.4%</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.7%</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37.3%</w:t>
            </w:r>
          </w:p>
        </w:tc>
        <w:tc>
          <w:tcPr>
            <w:tcW w:w="366"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36.7%</w:t>
            </w:r>
          </w:p>
        </w:tc>
        <w:tc>
          <w:tcPr>
            <w:tcW w:w="344"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36.1%</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სექტემბერი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32,714</w:t>
            </w:r>
          </w:p>
        </w:tc>
        <w:tc>
          <w:tcPr>
            <w:tcW w:w="371" w:type="pct"/>
            <w:shd w:val="clear" w:color="auto" w:fill="auto"/>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35,827</w:t>
            </w:r>
          </w:p>
        </w:tc>
        <w:tc>
          <w:tcPr>
            <w:tcW w:w="371"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37,593</w:t>
            </w:r>
          </w:p>
        </w:tc>
        <w:tc>
          <w:tcPr>
            <w:tcW w:w="366"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40,171</w:t>
            </w:r>
          </w:p>
        </w:tc>
        <w:tc>
          <w:tcPr>
            <w:tcW w:w="344" w:type="pct"/>
            <w:vAlign w:val="center"/>
          </w:tcPr>
          <w:p w:rsidR="00F27947" w:rsidRPr="00511B42" w:rsidRDefault="00F27947" w:rsidP="009821BC">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42,883</w:t>
            </w:r>
          </w:p>
        </w:tc>
      </w:tr>
      <w:tr w:rsidR="00F27947" w:rsidRPr="00511B42" w:rsidTr="009821BC">
        <w:trPr>
          <w:trHeight w:val="303"/>
          <w:jc w:val="center"/>
        </w:trPr>
        <w:tc>
          <w:tcPr>
            <w:tcW w:w="2064" w:type="pct"/>
            <w:shd w:val="clear" w:color="auto" w:fill="auto"/>
            <w:vAlign w:val="center"/>
          </w:tcPr>
          <w:p w:rsidR="00F27947" w:rsidRPr="00511B42" w:rsidRDefault="00F27947" w:rsidP="009821BC">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49.1%</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36.5%</w:t>
            </w:r>
          </w:p>
        </w:tc>
        <w:tc>
          <w:tcPr>
            <w:tcW w:w="371" w:type="pct"/>
            <w:shd w:val="clear" w:color="auto" w:fill="auto"/>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36</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8</w:t>
            </w:r>
            <w:r w:rsidRPr="00511B42">
              <w:rPr>
                <w:rFonts w:ascii="Sylfaen" w:eastAsia="Times New Roman" w:hAnsi="Sylfaen" w:cs="Arial"/>
                <w:i/>
                <w:color w:val="000000"/>
                <w:sz w:val="18"/>
                <w:szCs w:val="18"/>
              </w:rPr>
              <w:t>%</w:t>
            </w:r>
          </w:p>
        </w:tc>
        <w:tc>
          <w:tcPr>
            <w:tcW w:w="371"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35.7</w:t>
            </w:r>
            <w:r w:rsidRPr="00511B42">
              <w:rPr>
                <w:rFonts w:ascii="Sylfaen" w:eastAsia="Times New Roman" w:hAnsi="Sylfaen" w:cs="Arial"/>
                <w:i/>
                <w:color w:val="000000"/>
                <w:sz w:val="18"/>
                <w:szCs w:val="18"/>
              </w:rPr>
              <w:t>%</w:t>
            </w:r>
          </w:p>
        </w:tc>
        <w:tc>
          <w:tcPr>
            <w:tcW w:w="366"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35.2</w:t>
            </w:r>
            <w:r w:rsidRPr="00511B42">
              <w:rPr>
                <w:rFonts w:ascii="Sylfaen" w:eastAsia="Times New Roman" w:hAnsi="Sylfaen" w:cs="Arial"/>
                <w:i/>
                <w:color w:val="000000"/>
                <w:sz w:val="18"/>
                <w:szCs w:val="18"/>
              </w:rPr>
              <w:t>%</w:t>
            </w:r>
          </w:p>
        </w:tc>
        <w:tc>
          <w:tcPr>
            <w:tcW w:w="344" w:type="pct"/>
            <w:vAlign w:val="bottom"/>
          </w:tcPr>
          <w:p w:rsidR="00F27947" w:rsidRPr="00511B42" w:rsidRDefault="00F27947" w:rsidP="009821BC">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34.6</w:t>
            </w:r>
            <w:r w:rsidRPr="00511B42">
              <w:rPr>
                <w:rFonts w:ascii="Sylfaen" w:eastAsia="Times New Roman" w:hAnsi="Sylfaen" w:cs="Arial"/>
                <w:i/>
                <w:color w:val="000000"/>
                <w:sz w:val="18"/>
                <w:szCs w:val="18"/>
              </w:rPr>
              <w:t>%</w:t>
            </w:r>
          </w:p>
        </w:tc>
      </w:tr>
    </w:tbl>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pStyle w:val="NoSpacing"/>
        <w:spacing w:line="276" w:lineRule="auto"/>
        <w:ind w:firstLine="720"/>
        <w:jc w:val="both"/>
        <w:rPr>
          <w:rFonts w:ascii="Sylfaen" w:hAnsi="Sylfaen"/>
          <w:highlight w:val="yellow"/>
          <w:lang w:val="ka-GE"/>
        </w:rPr>
      </w:pPr>
    </w:p>
    <w:p w:rsidR="00F27947" w:rsidRPr="00511B42" w:rsidRDefault="00F27947" w:rsidP="00F27947">
      <w:pPr>
        <w:rPr>
          <w:rFonts w:ascii="Sylfaen" w:hAnsi="Sylfaen"/>
          <w:highlight w:val="yellow"/>
          <w:lang w:val="ka-GE"/>
        </w:rPr>
      </w:pPr>
      <w:r w:rsidRPr="00511B42">
        <w:rPr>
          <w:rFonts w:ascii="Sylfaen" w:hAnsi="Sylfaen"/>
          <w:highlight w:val="yellow"/>
          <w:lang w:val="ka-GE"/>
        </w:rPr>
        <w:br w:type="page"/>
      </w:r>
    </w:p>
    <w:p w:rsidR="00F27947" w:rsidRPr="00511B42" w:rsidRDefault="00F27947" w:rsidP="00F27947">
      <w:pPr>
        <w:pStyle w:val="Heading1"/>
        <w:numPr>
          <w:ilvl w:val="0"/>
          <w:numId w:val="1"/>
        </w:numPr>
        <w:rPr>
          <w:rFonts w:ascii="Sylfaen" w:hAnsi="Sylfaen"/>
          <w:b/>
          <w:sz w:val="28"/>
          <w:lang w:val="ka-GE"/>
        </w:rPr>
      </w:pPr>
      <w:r w:rsidRPr="00511B42">
        <w:rPr>
          <w:rFonts w:ascii="Sylfaen" w:hAnsi="Sylfaen"/>
          <w:b/>
          <w:sz w:val="28"/>
          <w:lang w:val="ka-GE"/>
        </w:rPr>
        <w:lastRenderedPageBreak/>
        <w:t>ფისკალური პარამეტრების ციკლურობა და ფისკალური პოლიტიკა</w:t>
      </w:r>
    </w:p>
    <w:p w:rsidR="00F27947" w:rsidRPr="00511B42" w:rsidRDefault="00F27947" w:rsidP="00F27947">
      <w:pPr>
        <w:spacing w:line="276" w:lineRule="auto"/>
        <w:rPr>
          <w:rFonts w:ascii="Sylfaen" w:hAnsi="Sylfaen" w:cs="Sylfaen"/>
          <w:lang w:val="ka-GE"/>
        </w:rPr>
      </w:pPr>
    </w:p>
    <w:p w:rsidR="00F27947" w:rsidRPr="00511B42" w:rsidRDefault="00F27947" w:rsidP="00F27947">
      <w:pPr>
        <w:spacing w:after="0" w:line="276" w:lineRule="auto"/>
        <w:ind w:firstLine="567"/>
        <w:jc w:val="both"/>
        <w:rPr>
          <w:rFonts w:ascii="Sylfaen" w:hAnsi="Sylfaen" w:cs="Sylfaen"/>
          <w:lang w:val="ka-GE"/>
        </w:rPr>
      </w:pPr>
      <w:r w:rsidRPr="00511B42">
        <w:rPr>
          <w:rFonts w:ascii="Sylfaen" w:hAnsi="Sylfaen" w:cs="Sylfaen"/>
          <w:lang w:val="ka-GE"/>
        </w:rPr>
        <w:t>ფისკალური პოლიტიკის შეფასების ერთ-ერთი მიდგომაა, განისაზღვროს მისი დისკრეციული ნაწილი  და გაანალიზდეს, აღნიშნული ეკონომიკური ციკლების სხვადასხვა ეტაპზე (ციკლის შესაფასებლად გამოიყენება მიმდინარე მშპ-ს პოტენციური მშპ-დან გადახრის პროცენტული მაჩვენებელი - ე.წ. „გეპი“) რა გავლენას ახდენდა ეკონომიკის აქტივობაზე. ამისათვის საჭიროა არსებულ მონაცემებზე დაყრდნობით შემდეგი ნაბიჯების გადადგმა:</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განისაზღვროს ეკონომიკის ციკლის სიდიდე; </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ამის შემდგომ,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 და </w:t>
      </w:r>
    </w:p>
    <w:p w:rsidR="00F27947" w:rsidRPr="00511B42" w:rsidRDefault="00F27947" w:rsidP="00F27947">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საქართველოს ფინანსთა სამინისტროს მიერ მშპ-ს „გეპი“ შეფასებულია ე.წ. „კობ-დუგლასის“ საწარმოო ფუნქციის მეშვეობით</w:t>
      </w:r>
      <w:r w:rsidRPr="00511B42">
        <w:rPr>
          <w:rStyle w:val="FootnoteReference"/>
          <w:rFonts w:ascii="Sylfaen" w:hAnsi="Sylfaen" w:cs="Sylfaen"/>
          <w:lang w:val="ka-GE"/>
        </w:rPr>
        <w:footnoteReference w:id="1"/>
      </w:r>
      <w:r w:rsidRPr="00511B42">
        <w:rPr>
          <w:rFonts w:ascii="Sylfaen" w:hAnsi="Sylfaen" w:cs="Sylfaen"/>
          <w:lang w:val="ka-GE"/>
        </w:rPr>
        <w:t>, სადაც ეკონომიკის მთლიან აქტივობას განსაზღვრავს სამუშაო ძალა, კაპიტალის მოცულობა და ფაქტორების პროდუქტიულობა</w:t>
      </w:r>
      <w:r w:rsidRPr="00511B42">
        <w:rPr>
          <w:rFonts w:ascii="Sylfaen" w:hAnsi="Sylfaen" w:cs="Sylfaen"/>
        </w:rPr>
        <w:t xml:space="preserve">. </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 xml:space="preserve">შეფასებული „გეპის“ მეშვეობით ხდება ფისკალური პარამეტრების და საქართველოს შემთხვევაში ძირითადად შემოსავლების არსებული მონაცემებიდან ე.წ. ციკლური კომპონენტის გამოთვლა და ინდიკატორების ციკლურად შესწორება. თუ ეკონომიკა თავის პოტენციურ დონეზე მეტად ვითარდება და არსებობს მშპ-ს დადებითი „გეპი“, მიჩნეულია, რომ გადასახადების დისკრეციული ნაწილი არის ფაქტიურთან შედარებით მცირე და გადასახადები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 დისკრეციული ფისკალური პოლიტიკის გამო) და პირიქით, თუ ეკონომიკაში არის მშპ-ს უარყოფითი „გეპი“, რეალური მონაცემები ზრდის მიმართულებით კორექტირდება. </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ციკლურად შესწორებული პარამეტრების საშუალებით გამოითვლება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საპირისპირო  ნიშნით. საბოლოო მიზანი კი არის ე.წ. ფისკალური იმპულსის გამოთვლა,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ამოღებულია ხარჯებში არსებული როგორც შიდა, ისე გარე ვალის პროცენტის მომსახურება.</w:t>
      </w:r>
    </w:p>
    <w:p w:rsidR="00F27947" w:rsidRPr="00511B42" w:rsidRDefault="00F27947" w:rsidP="00F27947">
      <w:pPr>
        <w:spacing w:after="0" w:line="276" w:lineRule="auto"/>
        <w:ind w:firstLine="720"/>
        <w:jc w:val="both"/>
        <w:rPr>
          <w:rFonts w:ascii="Sylfaen" w:hAnsi="Sylfaen" w:cs="Sylfaen"/>
        </w:rPr>
      </w:pPr>
      <w:r w:rsidRPr="00511B42">
        <w:rPr>
          <w:rFonts w:ascii="Sylfaen" w:hAnsi="Sylfaen" w:cs="Sylfaen"/>
          <w:lang w:val="ka-GE"/>
        </w:rPr>
        <w:t>ყველაზე მარტივი მიდგომით ფისკალური იმპულსისა და მშპ-ს „გეპის“ კომბინაციით შესაძლებელია შეფასდეს ფისკალური პოლიტიკის ციკლურობა - იგი ანტიციკლურია თუ პროციკლური. ანტიციკლური ფისკალური პოლიტიკა გულისხმობს დადებით ფისკალურ იმპულსს უარყოფითი გაპის დროს და პირიქით, უარყოფით იმპულსს იმ შემთხვევაში, თუ მიმდინარე მშპ პოტენციურ დონეს აღემატება (დადებითი „გეპი“).</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lastRenderedPageBreak/>
        <w:t>ამის გარდა, ფისკალური</w:t>
      </w:r>
      <w:r w:rsidRPr="00511B42">
        <w:rPr>
          <w:rFonts w:ascii="Sylfaen" w:hAnsi="Sylfaen" w:cs="Sylfaen"/>
        </w:rPr>
        <w:t xml:space="preserve"> პოლიტიკის ზომის </w:t>
      </w:r>
      <w:r w:rsidRPr="00511B42">
        <w:rPr>
          <w:rFonts w:ascii="Sylfaen" w:hAnsi="Sylfaen" w:cs="Sylfaen"/>
          <w:lang w:val="ka-GE"/>
        </w:rPr>
        <w:t xml:space="preserve">შეფასებისთვის შესაძლოა ე.წ. სტრუქტურული დეფიციტის დათვლაც, რომელიც ციკლურად შესწორებული ბიუჯეტიდან კიდევ გამორიცხავს ბიუჯეტზე მოქმედ როგორც დადებით, ისე უარყოფით ერთჯერად ეფექტებს, რომელთაც მომავალ წელს ადგილი ვერ ექნება. შესაბამისად, გაანგარიშებიდან ამოღებულია კოვიდზე გაწეული ხარჯები (რამაც სტრუქტურული დეფიციტი შეამცირა), ბანკების მოგების გადასახადის გაანგარიშების მეთოდოლოგიის ცვლილების შედეგად ბიუჯეტში შემოსული გადასახადის ერთჯერადი ეფექტი (რამაც სტრუქტურული დეფიციტი გაზარდა) და ევროკომისიის მეთოდოლოგიის მიდგომით პრივატიზაციიდან მიღებული შემოსავლები, რადგან კონკრეტული აქტივის პრივატიზაცია მხოლოდ ერთხელ ხდება (რამაც გაზარდა  დეფიციტი). </w:t>
      </w:r>
    </w:p>
    <w:p w:rsidR="00F27947" w:rsidRPr="00511B42" w:rsidRDefault="00F27947" w:rsidP="00F27947">
      <w:pPr>
        <w:spacing w:after="0" w:line="276" w:lineRule="auto"/>
        <w:ind w:firstLine="720"/>
        <w:jc w:val="both"/>
        <w:rPr>
          <w:rFonts w:ascii="Sylfaen" w:hAnsi="Sylfaen" w:cs="Sylfaen"/>
        </w:rPr>
      </w:pPr>
    </w:p>
    <w:p w:rsidR="00F27947" w:rsidRPr="00511B42" w:rsidRDefault="00F27947" w:rsidP="00F27947">
      <w:pPr>
        <w:widowControl w:val="0"/>
        <w:autoSpaceDE w:val="0"/>
        <w:autoSpaceDN w:val="0"/>
        <w:adjustRightInd w:val="0"/>
        <w:spacing w:after="0" w:line="276" w:lineRule="auto"/>
        <w:ind w:left="120" w:right="67" w:hanging="120"/>
        <w:jc w:val="both"/>
        <w:rPr>
          <w:rFonts w:ascii="Sylfaen" w:hAnsi="Sylfaen" w:cs="Sylfaen"/>
          <w:b/>
          <w:lang w:val="ka-GE"/>
        </w:rPr>
      </w:pPr>
      <w:r>
        <w:rPr>
          <w:rFonts w:ascii="Sylfaen" w:hAnsi="Sylfaen" w:cs="Sylfaen"/>
          <w:b/>
          <w:lang w:val="ka-GE"/>
        </w:rPr>
        <w:t xml:space="preserve">ცხრილი №11. </w:t>
      </w:r>
      <w:r w:rsidRPr="00511B42">
        <w:rPr>
          <w:rFonts w:ascii="Sylfaen" w:hAnsi="Sylfaen" w:cs="Sylfaen"/>
          <w:b/>
          <w:lang w:val="ka-GE"/>
        </w:rPr>
        <w:t>სტრუქტურული ფისკალური ინდიკატორები</w:t>
      </w:r>
    </w:p>
    <w:p w:rsidR="00F27947" w:rsidRPr="00511B42" w:rsidRDefault="00F27947" w:rsidP="00F27947">
      <w:pPr>
        <w:widowControl w:val="0"/>
        <w:autoSpaceDE w:val="0"/>
        <w:autoSpaceDN w:val="0"/>
        <w:adjustRightInd w:val="0"/>
        <w:spacing w:after="0" w:line="276" w:lineRule="auto"/>
        <w:ind w:left="120" w:right="67" w:hanging="300"/>
        <w:jc w:val="both"/>
        <w:rPr>
          <w:rFonts w:ascii="Sylfaen" w:hAnsi="Sylfaen" w:cs="Sylfaen"/>
          <w:b/>
          <w:lang w:val="ka-GE"/>
        </w:rPr>
      </w:pPr>
    </w:p>
    <w:tbl>
      <w:tblPr>
        <w:tblW w:w="5000" w:type="pct"/>
        <w:tblLook w:val="04A0" w:firstRow="1" w:lastRow="0" w:firstColumn="1" w:lastColumn="0" w:noHBand="0" w:noVBand="1"/>
      </w:tblPr>
      <w:tblGrid>
        <w:gridCol w:w="3208"/>
        <w:gridCol w:w="793"/>
        <w:gridCol w:w="792"/>
        <w:gridCol w:w="792"/>
        <w:gridCol w:w="792"/>
        <w:gridCol w:w="792"/>
        <w:gridCol w:w="792"/>
        <w:gridCol w:w="792"/>
        <w:gridCol w:w="792"/>
        <w:gridCol w:w="792"/>
      </w:tblGrid>
      <w:tr w:rsidR="00F27947" w:rsidRPr="00511B42" w:rsidTr="009821BC">
        <w:trPr>
          <w:trHeight w:val="377"/>
        </w:trPr>
        <w:tc>
          <w:tcPr>
            <w:tcW w:w="1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დასახელება</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2020</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2021</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2022</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2023</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2024</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2026</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2027</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2028</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რელური მშპ-ს ზრდა</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8.2%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პოტენციური მშპ-ს ზრდა</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მშპ-ს GAP</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-8.1%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ka-GE" w:eastAsia="en-GB"/>
              </w:rPr>
            </w:pPr>
            <w:r w:rsidRPr="00511B42">
              <w:rPr>
                <w:rFonts w:ascii="Sylfaen" w:eastAsia="Times New Roman" w:hAnsi="Sylfaen" w:cs="Calibri"/>
                <w:sz w:val="18"/>
                <w:lang w:val="en-GB" w:eastAsia="en-GB"/>
              </w:rPr>
              <w:t>-9.0%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-6.3%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-7.5%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ციკლური კომპონენტი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ციკლურად შესწორებული 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-2.6%</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ციკლურად შესწორებული 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ერთჯერადი ფაქტორები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პრივატიზაცია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-0.3%</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COVID ხარჯები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5.1%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0.8%</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ბანკების მოგება -</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სტრუქტურული ერთიანი ბიუჯეტის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-4.3%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-3.0%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-2.9%</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sz w:val="18"/>
                <w:lang w:val="en-GB" w:eastAsia="en-GB"/>
              </w:rPr>
            </w:pPr>
            <w:r w:rsidRPr="00511B42">
              <w:rPr>
                <w:rFonts w:ascii="Sylfaen" w:eastAsia="Times New Roman" w:hAnsi="Sylfaen" w:cs="Calibri"/>
                <w:sz w:val="18"/>
                <w:lang w:val="en-GB" w:eastAsia="en-GB"/>
              </w:rPr>
              <w:t>სტრუქტურული   ერთიანი ბიუჯეტის პირველადი დეფიციტი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-1.9%</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-2.5%</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sz w:val="18"/>
                <w:lang w:val="en-GB" w:eastAsia="en-GB"/>
              </w:rPr>
            </w:pPr>
            <w:r w:rsidRPr="00511B42">
              <w:rPr>
                <w:rFonts w:ascii="Sylfaen" w:eastAsia="Times New Roman" w:hAnsi="Sylfaen" w:cs="Calibri"/>
                <w:sz w:val="18"/>
                <w:lang w:val="en-GB" w:eastAsia="en-GB"/>
              </w:rPr>
              <w:t>-1.2%</w:t>
            </w:r>
          </w:p>
        </w:tc>
      </w:tr>
      <w:tr w:rsidR="00F27947" w:rsidRPr="00511B42" w:rsidTr="009821BC">
        <w:trPr>
          <w:trHeight w:val="113"/>
        </w:trPr>
        <w:tc>
          <w:tcPr>
            <w:tcW w:w="1550" w:type="pct"/>
            <w:tcBorders>
              <w:top w:val="nil"/>
              <w:left w:val="single" w:sz="4" w:space="0" w:color="auto"/>
              <w:bottom w:val="single" w:sz="4" w:space="0" w:color="auto"/>
              <w:right w:val="single" w:sz="4" w:space="0" w:color="auto"/>
            </w:tcBorders>
            <w:shd w:val="clear" w:color="auto" w:fill="auto"/>
            <w:vAlign w:val="center"/>
            <w:hideMark/>
          </w:tcPr>
          <w:p w:rsidR="00F27947" w:rsidRPr="00511B42" w:rsidRDefault="00F27947" w:rsidP="009821BC">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ფისკალური იმპულსი</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1.3%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0.4%</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-0.1%</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0.6%</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-0.7%</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-0.3%</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0.0%</w:t>
            </w:r>
          </w:p>
        </w:tc>
        <w:tc>
          <w:tcPr>
            <w:tcW w:w="383" w:type="pct"/>
            <w:tcBorders>
              <w:top w:val="nil"/>
              <w:left w:val="nil"/>
              <w:bottom w:val="single" w:sz="4" w:space="0" w:color="auto"/>
              <w:right w:val="single" w:sz="4" w:space="0" w:color="auto"/>
            </w:tcBorders>
            <w:shd w:val="clear" w:color="auto" w:fill="auto"/>
            <w:noWrap/>
            <w:vAlign w:val="center"/>
            <w:hideMark/>
          </w:tcPr>
          <w:p w:rsidR="00F27947" w:rsidRPr="00511B42" w:rsidRDefault="00F27947" w:rsidP="009821BC">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0.0%</w:t>
            </w:r>
          </w:p>
        </w:tc>
      </w:tr>
    </w:tbl>
    <w:p w:rsidR="00F27947" w:rsidRPr="00511B42" w:rsidRDefault="00F27947" w:rsidP="00F27947">
      <w:pPr>
        <w:widowControl w:val="0"/>
        <w:autoSpaceDE w:val="0"/>
        <w:autoSpaceDN w:val="0"/>
        <w:adjustRightInd w:val="0"/>
        <w:spacing w:after="0" w:line="276" w:lineRule="auto"/>
        <w:ind w:left="120" w:right="67" w:hanging="300"/>
        <w:jc w:val="both"/>
        <w:rPr>
          <w:rFonts w:ascii="Sylfaen" w:hAnsi="Sylfaen" w:cs="Sylfaen"/>
          <w:b/>
          <w:lang w:val="ka-GE"/>
        </w:rPr>
      </w:pP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 xml:space="preserve">როგორც ცხრილიდან ჩანს, 2024 წელს მშპ-ს დადებითი „გეპი“ გაიზარდება, იგი 2025 წელს შემცირდება თუმცა კვლავ დადებითი იქნება, ხოლო საშუალოვადიან პერიოდში იგი მნიშვნელოვნად მცირდება და განულდება. </w:t>
      </w: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გაანგარიშებები მომზადებულია სახელმწიფოს ერთიანი ბიუჯეტის ოპერაციებზე, რომლის დეფიციტიც არ უნდა იყოს 3 პროცენტზე  მეტი, ფისკალური წესების მიხედვით.</w:t>
      </w:r>
    </w:p>
    <w:p w:rsidR="00F27947" w:rsidRPr="00511B42" w:rsidRDefault="00F27947" w:rsidP="00F27947">
      <w:pPr>
        <w:spacing w:line="276" w:lineRule="auto"/>
        <w:ind w:firstLine="720"/>
        <w:jc w:val="both"/>
        <w:rPr>
          <w:rFonts w:ascii="Sylfaen" w:hAnsi="Sylfaen"/>
          <w:highlight w:val="yellow"/>
          <w:lang w:val="ka-GE"/>
        </w:rPr>
      </w:pPr>
      <w:r w:rsidRPr="00511B42">
        <w:rPr>
          <w:rFonts w:ascii="Sylfaen" w:hAnsi="Sylfaen" w:cs="Sylfaen"/>
          <w:lang w:val="ka-GE"/>
        </w:rPr>
        <w:t>აღნიშნული ცხრილის მიხედვით, ფისკალური პოლიტიკა ძირითადად ანტიციკლური ან ნეიტრალურია. კერძოდ, კოვიდის განმავლობაში და პოსტკოვიდური პერიოდის სწრაფად ცვალებადი ეკონომიკური აქტივობის შემდეგ, არსებული საშუალოვადიანი პროგნოზების მიხედვით, 2026-2028 წლებში, ფისკალური იმპულსი და მშპ-ს „გეპის“ მნიშვნელობები იმდენად მცირეა, რომ შეიძლება ითქვას, რომ ფისკალური პოლიტიკა ნეიტრალური იქნება და არ გამოიწვეს მშპ-ს „გეპის“ ზრდას ან კლებას.</w:t>
      </w:r>
      <w:bookmarkStart w:id="5" w:name="_GoBack"/>
      <w:bookmarkEnd w:id="5"/>
    </w:p>
    <w:sectPr w:rsidR="00F27947" w:rsidRPr="00511B42" w:rsidSect="00F27947">
      <w:headerReference w:type="default" r:id="rId9"/>
      <w:footerReference w:type="default" r:id="rId10"/>
      <w:pgSz w:w="12240" w:h="15840"/>
      <w:pgMar w:top="709" w:right="900" w:bottom="1134" w:left="993"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36C" w:rsidRDefault="009A436C" w:rsidP="00F27947">
      <w:pPr>
        <w:spacing w:after="0" w:line="240" w:lineRule="auto"/>
      </w:pPr>
      <w:r>
        <w:separator/>
      </w:r>
    </w:p>
  </w:endnote>
  <w:endnote w:type="continuationSeparator" w:id="0">
    <w:p w:rsidR="009A436C" w:rsidRDefault="009A436C" w:rsidP="00F2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01674"/>
      <w:docPartObj>
        <w:docPartGallery w:val="Page Numbers (Bottom of Page)"/>
        <w:docPartUnique/>
      </w:docPartObj>
    </w:sdtPr>
    <w:sdtEndPr>
      <w:rPr>
        <w:noProof/>
      </w:rPr>
    </w:sdtEndPr>
    <w:sdtContent>
      <w:p w:rsidR="00F27947" w:rsidRDefault="00F27947">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F27947" w:rsidRDefault="00F2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36C" w:rsidRDefault="009A436C" w:rsidP="00F27947">
      <w:pPr>
        <w:spacing w:after="0" w:line="240" w:lineRule="auto"/>
      </w:pPr>
      <w:r>
        <w:separator/>
      </w:r>
    </w:p>
  </w:footnote>
  <w:footnote w:type="continuationSeparator" w:id="0">
    <w:p w:rsidR="009A436C" w:rsidRDefault="009A436C" w:rsidP="00F27947">
      <w:pPr>
        <w:spacing w:after="0" w:line="240" w:lineRule="auto"/>
      </w:pPr>
      <w:r>
        <w:continuationSeparator/>
      </w:r>
    </w:p>
  </w:footnote>
  <w:footnote w:id="1">
    <w:p w:rsidR="00F27947" w:rsidRPr="00657D1B" w:rsidRDefault="00F27947" w:rsidP="00F27947">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lang w:val="ka-GE"/>
        </w:rPr>
        <w:t xml:space="preserve">პოტენციური მშპ-ს შეფასების და მშპ-ს </w:t>
      </w:r>
      <w:r w:rsidRPr="00657D1B">
        <w:rPr>
          <w:rFonts w:ascii="Sylfaen" w:hAnsi="Sylfaen"/>
          <w:sz w:val="18"/>
          <w:lang w:val="ka-GE"/>
        </w:rPr>
        <w:t>გაპის გამოთვლ</w:t>
      </w:r>
      <w:r>
        <w:rPr>
          <w:rFonts w:ascii="Sylfaen" w:hAnsi="Sylfaen"/>
          <w:sz w:val="18"/>
          <w:lang w:val="ka-GE"/>
        </w:rPr>
        <w:t>ი</w:t>
      </w:r>
      <w:r w:rsidRPr="00657D1B">
        <w:rPr>
          <w:rFonts w:ascii="Sylfaen" w:hAnsi="Sylfaen"/>
          <w:sz w:val="18"/>
          <w:lang w:val="ka-GE"/>
        </w:rPr>
        <w:t xml:space="preserve">ს მეთოდოლოგია გამოქვეყნდება </w:t>
      </w:r>
      <w:r>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C3" w:rsidRDefault="009A436C">
    <w:pPr>
      <w:pStyle w:val="Header"/>
    </w:pPr>
  </w:p>
  <w:p w:rsidR="00E638C3" w:rsidRDefault="009A4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8" w15:restartNumberingAfterBreak="0">
    <w:nsid w:val="3C8E4B7F"/>
    <w:multiLevelType w:val="hybridMultilevel"/>
    <w:tmpl w:val="922C21CE"/>
    <w:lvl w:ilvl="0" w:tplc="F7E2486A">
      <w:start w:val="1"/>
      <w:numFmt w:val="decimal"/>
      <w:lvlText w:val="%1."/>
      <w:lvlJc w:val="left"/>
      <w:pPr>
        <w:ind w:left="720" w:hanging="360"/>
      </w:pPr>
      <w:rPr>
        <w:rFonts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3"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FA151A"/>
    <w:multiLevelType w:val="hybridMultilevel"/>
    <w:tmpl w:val="95FE97D8"/>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5"/>
  </w:num>
  <w:num w:numId="2">
    <w:abstractNumId w:val="0"/>
  </w:num>
  <w:num w:numId="3">
    <w:abstractNumId w:val="14"/>
  </w:num>
  <w:num w:numId="4">
    <w:abstractNumId w:val="29"/>
  </w:num>
  <w:num w:numId="5">
    <w:abstractNumId w:val="16"/>
  </w:num>
  <w:num w:numId="6">
    <w:abstractNumId w:val="3"/>
  </w:num>
  <w:num w:numId="7">
    <w:abstractNumId w:val="23"/>
  </w:num>
  <w:num w:numId="8">
    <w:abstractNumId w:val="5"/>
  </w:num>
  <w:num w:numId="9">
    <w:abstractNumId w:val="19"/>
  </w:num>
  <w:num w:numId="10">
    <w:abstractNumId w:val="8"/>
  </w:num>
  <w:num w:numId="11">
    <w:abstractNumId w:val="9"/>
  </w:num>
  <w:num w:numId="12">
    <w:abstractNumId w:val="21"/>
  </w:num>
  <w:num w:numId="13">
    <w:abstractNumId w:val="20"/>
  </w:num>
  <w:num w:numId="14">
    <w:abstractNumId w:val="2"/>
  </w:num>
  <w:num w:numId="15">
    <w:abstractNumId w:val="15"/>
  </w:num>
  <w:num w:numId="16">
    <w:abstractNumId w:val="4"/>
  </w:num>
  <w:num w:numId="17">
    <w:abstractNumId w:val="13"/>
  </w:num>
  <w:num w:numId="18">
    <w:abstractNumId w:val="17"/>
  </w:num>
  <w:num w:numId="19">
    <w:abstractNumId w:val="28"/>
  </w:num>
  <w:num w:numId="20">
    <w:abstractNumId w:val="27"/>
  </w:num>
  <w:num w:numId="21">
    <w:abstractNumId w:val="7"/>
  </w:num>
  <w:num w:numId="22">
    <w:abstractNumId w:val="11"/>
  </w:num>
  <w:num w:numId="23">
    <w:abstractNumId w:val="22"/>
  </w:num>
  <w:num w:numId="24">
    <w:abstractNumId w:val="1"/>
  </w:num>
  <w:num w:numId="25">
    <w:abstractNumId w:val="12"/>
  </w:num>
  <w:num w:numId="26">
    <w:abstractNumId w:val="6"/>
  </w:num>
  <w:num w:numId="27">
    <w:abstractNumId w:val="24"/>
  </w:num>
  <w:num w:numId="28">
    <w:abstractNumId w:val="18"/>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7"/>
    <w:rsid w:val="00352047"/>
    <w:rsid w:val="009A436C"/>
    <w:rsid w:val="00F2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8574"/>
  <w15:chartTrackingRefBased/>
  <w15:docId w15:val="{BABB3C26-DCA9-42E2-B37E-B3CCAA6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47"/>
  </w:style>
  <w:style w:type="paragraph" w:styleId="Heading1">
    <w:name w:val="heading 1"/>
    <w:basedOn w:val="Normal"/>
    <w:next w:val="Normal"/>
    <w:link w:val="Heading1Char"/>
    <w:uiPriority w:val="9"/>
    <w:qFormat/>
    <w:rsid w:val="00F27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9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7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9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7947"/>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27947"/>
    <w:pPr>
      <w:spacing w:after="0" w:line="240" w:lineRule="auto"/>
    </w:pPr>
  </w:style>
  <w:style w:type="character" w:styleId="CommentReference">
    <w:name w:val="annotation reference"/>
    <w:basedOn w:val="DefaultParagraphFont"/>
    <w:uiPriority w:val="99"/>
    <w:semiHidden/>
    <w:unhideWhenUsed/>
    <w:rsid w:val="00F27947"/>
    <w:rPr>
      <w:sz w:val="16"/>
      <w:szCs w:val="16"/>
    </w:rPr>
  </w:style>
  <w:style w:type="paragraph" w:styleId="CommentText">
    <w:name w:val="annotation text"/>
    <w:basedOn w:val="Normal"/>
    <w:link w:val="CommentTextChar"/>
    <w:uiPriority w:val="99"/>
    <w:semiHidden/>
    <w:unhideWhenUsed/>
    <w:rsid w:val="00F27947"/>
    <w:pPr>
      <w:spacing w:line="240" w:lineRule="auto"/>
    </w:pPr>
    <w:rPr>
      <w:sz w:val="20"/>
      <w:szCs w:val="20"/>
    </w:rPr>
  </w:style>
  <w:style w:type="character" w:customStyle="1" w:styleId="CommentTextChar">
    <w:name w:val="Comment Text Char"/>
    <w:basedOn w:val="DefaultParagraphFont"/>
    <w:link w:val="CommentText"/>
    <w:uiPriority w:val="99"/>
    <w:semiHidden/>
    <w:rsid w:val="00F27947"/>
    <w:rPr>
      <w:sz w:val="20"/>
      <w:szCs w:val="20"/>
    </w:rPr>
  </w:style>
  <w:style w:type="paragraph" w:styleId="CommentSubject">
    <w:name w:val="annotation subject"/>
    <w:basedOn w:val="CommentText"/>
    <w:next w:val="CommentText"/>
    <w:link w:val="CommentSubjectChar"/>
    <w:uiPriority w:val="99"/>
    <w:semiHidden/>
    <w:unhideWhenUsed/>
    <w:rsid w:val="00F27947"/>
    <w:rPr>
      <w:b/>
      <w:bCs/>
    </w:rPr>
  </w:style>
  <w:style w:type="character" w:customStyle="1" w:styleId="CommentSubjectChar">
    <w:name w:val="Comment Subject Char"/>
    <w:basedOn w:val="CommentTextChar"/>
    <w:link w:val="CommentSubject"/>
    <w:uiPriority w:val="99"/>
    <w:semiHidden/>
    <w:rsid w:val="00F27947"/>
    <w:rPr>
      <w:b/>
      <w:bCs/>
      <w:sz w:val="20"/>
      <w:szCs w:val="20"/>
    </w:rPr>
  </w:style>
  <w:style w:type="paragraph" w:styleId="BalloonText">
    <w:name w:val="Balloon Text"/>
    <w:basedOn w:val="Normal"/>
    <w:link w:val="BalloonTextChar"/>
    <w:uiPriority w:val="99"/>
    <w:semiHidden/>
    <w:unhideWhenUsed/>
    <w:rsid w:val="00F2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47"/>
    <w:rPr>
      <w:rFonts w:ascii="Segoe UI" w:hAnsi="Segoe UI" w:cs="Segoe UI"/>
      <w:sz w:val="18"/>
      <w:szCs w:val="18"/>
    </w:rPr>
  </w:style>
  <w:style w:type="paragraph" w:styleId="Header">
    <w:name w:val="header"/>
    <w:basedOn w:val="Normal"/>
    <w:link w:val="HeaderChar"/>
    <w:uiPriority w:val="99"/>
    <w:unhideWhenUsed/>
    <w:rsid w:val="00F27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947"/>
  </w:style>
  <w:style w:type="paragraph" w:styleId="Footer">
    <w:name w:val="footer"/>
    <w:basedOn w:val="Normal"/>
    <w:link w:val="FooterChar"/>
    <w:uiPriority w:val="99"/>
    <w:unhideWhenUsed/>
    <w:rsid w:val="00F27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47"/>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27947"/>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F27947"/>
  </w:style>
  <w:style w:type="paragraph" w:customStyle="1" w:styleId="Normal0">
    <w:name w:val="[Normal]"/>
    <w:uiPriority w:val="99"/>
    <w:rsid w:val="00F27947"/>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F27947"/>
    <w:rPr>
      <w:color w:val="0563C1" w:themeColor="hyperlink"/>
      <w:u w:val="single"/>
    </w:rPr>
  </w:style>
  <w:style w:type="paragraph" w:styleId="FootnoteText">
    <w:name w:val="footnote text"/>
    <w:basedOn w:val="Normal"/>
    <w:link w:val="FootnoteTextChar"/>
    <w:uiPriority w:val="99"/>
    <w:unhideWhenUsed/>
    <w:rsid w:val="00F27947"/>
    <w:pPr>
      <w:spacing w:after="0" w:line="240" w:lineRule="auto"/>
    </w:pPr>
    <w:rPr>
      <w:sz w:val="20"/>
      <w:szCs w:val="20"/>
    </w:rPr>
  </w:style>
  <w:style w:type="character" w:customStyle="1" w:styleId="FootnoteTextChar">
    <w:name w:val="Footnote Text Char"/>
    <w:basedOn w:val="DefaultParagraphFont"/>
    <w:link w:val="FootnoteText"/>
    <w:uiPriority w:val="99"/>
    <w:rsid w:val="00F27947"/>
    <w:rPr>
      <w:sz w:val="20"/>
      <w:szCs w:val="20"/>
    </w:rPr>
  </w:style>
  <w:style w:type="character" w:styleId="FootnoteReference">
    <w:name w:val="footnote reference"/>
    <w:basedOn w:val="DefaultParagraphFont"/>
    <w:uiPriority w:val="99"/>
    <w:unhideWhenUsed/>
    <w:rsid w:val="00F27947"/>
    <w:rPr>
      <w:vertAlign w:val="superscript"/>
    </w:rPr>
  </w:style>
  <w:style w:type="table" w:styleId="TableGrid">
    <w:name w:val="Table Grid"/>
    <w:basedOn w:val="TableNormal"/>
    <w:uiPriority w:val="39"/>
    <w:rsid w:val="00F2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7947"/>
    <w:pPr>
      <w:outlineLvl w:val="9"/>
    </w:pPr>
  </w:style>
  <w:style w:type="paragraph" w:styleId="TOC1">
    <w:name w:val="toc 1"/>
    <w:basedOn w:val="Normal"/>
    <w:next w:val="Normal"/>
    <w:autoRedefine/>
    <w:uiPriority w:val="39"/>
    <w:unhideWhenUsed/>
    <w:rsid w:val="00F27947"/>
    <w:pPr>
      <w:spacing w:after="100"/>
    </w:pPr>
  </w:style>
  <w:style w:type="paragraph" w:styleId="TOC2">
    <w:name w:val="toc 2"/>
    <w:basedOn w:val="Normal"/>
    <w:next w:val="Normal"/>
    <w:autoRedefine/>
    <w:uiPriority w:val="39"/>
    <w:unhideWhenUsed/>
    <w:rsid w:val="00F27947"/>
    <w:pPr>
      <w:spacing w:after="100"/>
      <w:ind w:left="220"/>
    </w:pPr>
  </w:style>
  <w:style w:type="paragraph" w:styleId="TOC3">
    <w:name w:val="toc 3"/>
    <w:basedOn w:val="Normal"/>
    <w:next w:val="Normal"/>
    <w:autoRedefine/>
    <w:uiPriority w:val="39"/>
    <w:unhideWhenUsed/>
    <w:rsid w:val="00F27947"/>
    <w:pPr>
      <w:spacing w:after="100"/>
      <w:ind w:left="440"/>
    </w:pPr>
    <w:rPr>
      <w:rFonts w:eastAsiaTheme="minorEastAsia"/>
    </w:rPr>
  </w:style>
  <w:style w:type="paragraph" w:styleId="TOC4">
    <w:name w:val="toc 4"/>
    <w:basedOn w:val="Normal"/>
    <w:next w:val="Normal"/>
    <w:autoRedefine/>
    <w:uiPriority w:val="39"/>
    <w:unhideWhenUsed/>
    <w:rsid w:val="00F27947"/>
    <w:pPr>
      <w:spacing w:after="100"/>
      <w:ind w:left="660"/>
    </w:pPr>
    <w:rPr>
      <w:rFonts w:eastAsiaTheme="minorEastAsia"/>
    </w:rPr>
  </w:style>
  <w:style w:type="paragraph" w:styleId="TOC5">
    <w:name w:val="toc 5"/>
    <w:basedOn w:val="Normal"/>
    <w:next w:val="Normal"/>
    <w:autoRedefine/>
    <w:uiPriority w:val="39"/>
    <w:unhideWhenUsed/>
    <w:rsid w:val="00F27947"/>
    <w:pPr>
      <w:spacing w:after="100"/>
      <w:ind w:left="880"/>
    </w:pPr>
    <w:rPr>
      <w:rFonts w:eastAsiaTheme="minorEastAsia"/>
    </w:rPr>
  </w:style>
  <w:style w:type="paragraph" w:styleId="TOC6">
    <w:name w:val="toc 6"/>
    <w:basedOn w:val="Normal"/>
    <w:next w:val="Normal"/>
    <w:autoRedefine/>
    <w:uiPriority w:val="39"/>
    <w:unhideWhenUsed/>
    <w:rsid w:val="00F27947"/>
    <w:pPr>
      <w:spacing w:after="100"/>
      <w:ind w:left="1100"/>
    </w:pPr>
    <w:rPr>
      <w:rFonts w:eastAsiaTheme="minorEastAsia"/>
    </w:rPr>
  </w:style>
  <w:style w:type="paragraph" w:styleId="TOC7">
    <w:name w:val="toc 7"/>
    <w:basedOn w:val="Normal"/>
    <w:next w:val="Normal"/>
    <w:autoRedefine/>
    <w:uiPriority w:val="39"/>
    <w:unhideWhenUsed/>
    <w:rsid w:val="00F27947"/>
    <w:pPr>
      <w:spacing w:after="100"/>
      <w:ind w:left="1320"/>
    </w:pPr>
    <w:rPr>
      <w:rFonts w:eastAsiaTheme="minorEastAsia"/>
    </w:rPr>
  </w:style>
  <w:style w:type="paragraph" w:styleId="TOC8">
    <w:name w:val="toc 8"/>
    <w:basedOn w:val="Normal"/>
    <w:next w:val="Normal"/>
    <w:autoRedefine/>
    <w:uiPriority w:val="39"/>
    <w:unhideWhenUsed/>
    <w:rsid w:val="00F27947"/>
    <w:pPr>
      <w:spacing w:after="100"/>
      <w:ind w:left="1540"/>
    </w:pPr>
    <w:rPr>
      <w:rFonts w:eastAsiaTheme="minorEastAsia"/>
    </w:rPr>
  </w:style>
  <w:style w:type="paragraph" w:styleId="TOC9">
    <w:name w:val="toc 9"/>
    <w:basedOn w:val="Normal"/>
    <w:next w:val="Normal"/>
    <w:autoRedefine/>
    <w:uiPriority w:val="39"/>
    <w:unhideWhenUsed/>
    <w:rsid w:val="00F27947"/>
    <w:pPr>
      <w:spacing w:after="100"/>
      <w:ind w:left="1760"/>
    </w:pPr>
    <w:rPr>
      <w:rFonts w:eastAsiaTheme="minorEastAsia"/>
    </w:rPr>
  </w:style>
  <w:style w:type="paragraph" w:styleId="NormalWeb">
    <w:name w:val="Normal (Web)"/>
    <w:basedOn w:val="Normal"/>
    <w:uiPriority w:val="99"/>
    <w:unhideWhenUsed/>
    <w:rsid w:val="00F27947"/>
    <w:pPr>
      <w:spacing w:after="0" w:line="240" w:lineRule="auto"/>
    </w:pPr>
    <w:rPr>
      <w:rFonts w:ascii="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F2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7103</Words>
  <Characters>40489</Characters>
  <Application>Microsoft Office Word</Application>
  <DocSecurity>0</DocSecurity>
  <Lines>337</Lines>
  <Paragraphs>94</Paragraphs>
  <ScaleCrop>false</ScaleCrop>
  <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1</cp:revision>
  <dcterms:created xsi:type="dcterms:W3CDTF">2024-09-29T12:55:00Z</dcterms:created>
  <dcterms:modified xsi:type="dcterms:W3CDTF">2024-09-29T12:58:00Z</dcterms:modified>
</cp:coreProperties>
</file>